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/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№10/61</w:t>
      </w:r>
    </w:p>
    <w:p>
      <w:pPr>
        <w:pStyle w:val="Normal"/>
        <w:ind w:hanging="0"/>
        <w:jc w:val="center"/>
        <w:rPr/>
      </w:pPr>
      <w:r>
        <w:rPr>
          <w:szCs w:val="28"/>
        </w:rPr>
        <w:t xml:space="preserve"> </w:t>
      </w:r>
      <w:r>
        <w:rPr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/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/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>вул. Хрещатик, 36, сесійна зала                                                        2</w:t>
      </w:r>
      <w:r>
        <w:rPr>
          <w:b/>
          <w:szCs w:val="28"/>
          <w:lang w:val="ru-RU"/>
        </w:rPr>
        <w:t>4</w:t>
      </w:r>
      <w:r>
        <w:rPr>
          <w:b/>
          <w:szCs w:val="28"/>
        </w:rPr>
        <w:t>.05</w:t>
      </w:r>
      <w:r>
        <w:rPr>
          <w:b/>
          <w:bCs/>
          <w:szCs w:val="28"/>
        </w:rPr>
        <w:t>.2018</w:t>
      </w:r>
    </w:p>
    <w:p>
      <w:pPr>
        <w:pStyle w:val="Normal"/>
        <w:rPr/>
      </w:pPr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Склад комісії: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Присутні: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Відсутні:                                                                  </w:t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6 (шість) депутатів Київської міської ради.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5 (п’ять) депутатів Київської міської ради, члени постійної комісії: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r>
              <w:rPr>
                <w:szCs w:val="28"/>
              </w:rPr>
              <w:t>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Фіданян О.Г. – директор Департаменту освіти, науки, молоді та спорту</w:t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Лендєл Л.П. – начальник відділу правового забезпечення Департаменту освіти, науки, молоді та спорту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>Желтовська О. - інженер Департаменту освіти, науки, молоді та спорту</w:t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Дворніков В.М. – заступник директора Департаменту земельних ресурсів виконавчого органу Київської міської ради (КМДА)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Мельнікова О.О. – заступник начальника управління освіти Дніпровської РДА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Рабійчук О.В. – заступник начальника відділу управління освіти Дніпровської РДА</w:t>
            </w:r>
          </w:p>
          <w:p>
            <w:pPr>
              <w:pStyle w:val="Normal"/>
              <w:ind w:hanging="0"/>
              <w:jc w:val="both"/>
              <w:rPr/>
            </w:pPr>
            <w:bookmarkStart w:id="0" w:name="_GoBack1"/>
            <w:bookmarkEnd w:id="0"/>
            <w:r>
              <w:rPr>
                <w:rFonts w:cs="Times New Roman"/>
                <w:color w:val="000000" w:themeColor="text1"/>
                <w:sz w:val="28"/>
                <w:szCs w:val="28"/>
              </w:rPr>
              <w:t>Маковська В.М. – головний спеціаліст управління освіти Шевченківського району</w:t>
            </w:r>
          </w:p>
          <w:p>
            <w:pPr>
              <w:pStyle w:val="Normal"/>
              <w:ind w:hanging="0"/>
              <w:jc w:val="both"/>
              <w:rPr/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>Борисенко Л.М. – начальник управління економіки і фінансів Департаменту освіти, науки, молоді та спорту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Федорчук О.В. – юрисконсульт управління освіти Голосіївської РДА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Сторощук С.В. – представники місцевої ініціативи “Теремки -2”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Бобер Г.А – представники місцевої ініціативи  “Теремки -2”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Семенова А. – представники місцевої ініціативи “Теремки-2”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Арендавр С.М. - спеціаліст управління освіти Деснянської РДА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Зубарєва О.В. - керівник матеріальної групи управління освіти Подільської РДА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 xml:space="preserve">Рогова А.А. - в.о. начальника управління освіти </w:t>
            </w:r>
            <w:r>
              <w:rPr>
                <w:bCs/>
                <w:iCs/>
                <w:szCs w:val="28"/>
                <w:lang w:val="en-US"/>
              </w:rPr>
              <w:t>Солом’янcької</w:t>
            </w:r>
            <w:r>
              <w:rPr>
                <w:bCs/>
                <w:iCs/>
                <w:szCs w:val="28"/>
              </w:rPr>
              <w:t xml:space="preserve"> районної в місті Києві державної </w:t>
            </w:r>
            <w:r>
              <w:rPr>
                <w:bCs/>
                <w:iCs/>
                <w:szCs w:val="28"/>
                <w:lang w:val="uk-UA"/>
              </w:rPr>
              <w:t>адміністрації</w:t>
            </w:r>
            <w:r>
              <w:rPr>
                <w:bCs/>
                <w:iCs/>
                <w:szCs w:val="28"/>
              </w:rPr>
              <w:t xml:space="preserve"> 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 xml:space="preserve">Янко С.О. - інженер господарського відділу управління освіти </w:t>
            </w:r>
            <w:r>
              <w:rPr>
                <w:bCs/>
                <w:iCs/>
                <w:szCs w:val="28"/>
                <w:lang w:val="en-US"/>
              </w:rPr>
              <w:t>Солом’янcької</w:t>
            </w:r>
            <w:r>
              <w:rPr>
                <w:bCs/>
                <w:iCs/>
                <w:szCs w:val="28"/>
              </w:rPr>
              <w:t xml:space="preserve"> районної в місті Києві державної </w:t>
            </w:r>
            <w:r>
              <w:rPr>
                <w:bCs/>
                <w:iCs/>
                <w:szCs w:val="28"/>
                <w:lang w:val="uk-UA"/>
              </w:rPr>
              <w:t>адміністрації</w:t>
            </w:r>
            <w:r>
              <w:rPr>
                <w:bCs/>
                <w:iCs/>
                <w:szCs w:val="28"/>
              </w:rPr>
              <w:t xml:space="preserve"> 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 xml:space="preserve">Головцова Н.В. - </w:t>
            </w:r>
            <w:bookmarkStart w:id="1" w:name="__DdeLink__12298_2917027186"/>
            <w:bookmarkEnd w:id="1"/>
            <w:r>
              <w:rPr>
                <w:bCs/>
                <w:iCs/>
                <w:szCs w:val="28"/>
              </w:rPr>
              <w:t>представник ГО “НАРКОНОН”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Бондаренко Л.В. - представник ГО “НАРКОНОН”</w:t>
            </w:r>
          </w:p>
          <w:p>
            <w:pPr>
              <w:pStyle w:val="Normal"/>
              <w:ind w:hanging="0"/>
              <w:rPr>
                <w:rStyle w:val="Style12"/>
                <w:color w:val="00000A"/>
                <w:szCs w:val="28"/>
                <w:u w:val="none"/>
              </w:rPr>
            </w:pPr>
            <w:r>
              <w:rPr>
                <w:color w:val="00000A"/>
                <w:szCs w:val="28"/>
                <w:u w:val="none"/>
              </w:rPr>
            </w:r>
          </w:p>
        </w:tc>
      </w:tr>
    </w:tbl>
    <w:p>
      <w:pPr>
        <w:pStyle w:val="Normal"/>
        <w:ind w:hanging="0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bookmarkStart w:id="2" w:name="__DdeLink__830_818516737"/>
      <w:bookmarkEnd w:id="2"/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 xml:space="preserve"> </w:t>
      </w:r>
      <w:r>
        <w:rPr>
          <w:rFonts w:eastAsia="Calibri"/>
          <w:iCs/>
          <w:color w:val="000000"/>
          <w:szCs w:val="28"/>
        </w:rPr>
        <w:t>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Уральській, 2/10 у Голосіївському районі м. Києва” (справа А-24955)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№08/231-1528/ПР від 10.05.2018) (доп. Департамент земельних ресурсів, управління освіти Голосіївської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 xml:space="preserve">2.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Михайла Стельмаха, 9 у Голосіївському районі м. Києва” (справа А-24954)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№08/231-1572/ПР від 14.05.2018) (доп. Департамент земельних ресурсів, управління освіти Голосіївської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Академіка Глушкова, 20 у Голосіївському районі м. Києва” (справа А-25057)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№08/231-1570/ПР від 14.05.2018) (доп. Департамент земельних ресурсів, управління освіти Голосіївської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4.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Стратегічному шосе, 54 у Голосіївському районі м. Києва” (справа А-25061)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№08/231-1576/ПР від 14.05.2018) (доп. Департамент земельних ресурсів, управління освіти Голосіївської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5. Про розгляд проекту рішення Київської міської ради “Про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Пугачова, 10 у Шевченківському районі м. Києва” (справа А-25059)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№08/231-1579/ПР від 14.05.2018) (доп. Департамент земельних ресурсів, управління освіти Шевченківської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 xml:space="preserve">“Про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(школа № 9) на просп. Маршала Рокоссовського, 5 в Оболонському районі м. Києва” (справа А-25067)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№08/231-1524/ПР від 10.05.2018) (доп. Департамент земельних ресурсів, управління освіти Оболонської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гімназії “Троєщина” ІІ-ІІІ ступенів Деснянського району міста Києва земельної ділянки для експлуатації та обслуговування навчального закладу на вул. Марини Цвєтаєвої, 14-в у Деснянському районі м. Києва” (справа А-24767) 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№08/231-1540/ПР від 10.05.2018)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22-б у Дніпровському районі м. Києва” (справа А-24977) </w:t>
        <w:br/>
        <w:t xml:space="preserve">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№08/231-1534/ПР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Попудренка, 24 у Дніпровському районі м. Києва” (справа А-24894)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№08/231-1575/ПР від 14.05.2018)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Юності, 12 у Дніпровському районі м. Києва” (справа А-24892)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№08/231-1573/ПР від 14.05.2018)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 xml:space="preserve">11. Про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Юності, 5 у Дніпровському районі м. Києва” (справа А-24914)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№08/231-1569/ПР від 14.05.2018)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12. Про розгляд проекту рішення Київської міської ради</w:t>
        <w:br/>
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Червоноткацькій, 17-а у Дніпровському районі м. Києва” (справа А-24885)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№08/231-1571/ПР від 14.05.2018)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13.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Рогозівській, 4 у Дніпровському районі м. Києва” (справа А-24905) 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№08/231-1404/ПР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8-А у Дніпровському районі м. Києва” (справа А-24884) 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№08/231-1536/ПР від 10.05.2018) (доп. Департамент земельних ресурсів, управління освіти Дніпровської 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15.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Рогозівській, 10-а у Дніпровському районі м. Києва” (справа А-24915)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№08/231-1525/ПР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16. 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Бажова, 6-а у Дніпровському районі м. Києва” (справа А-24898)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№08/231-1526/ПР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Всеволода Нестайка, 5-а у Дніпровському районі м. Києва” (справа А-24824) 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№08/231-1527/ПР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Юрія Гагаріна, 19 у Дніпровському районі м. Києва” (справа А-24888) 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№08/231-1529/ПР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Міста Шалетт, 10а у Дніпровському районі м. Києва” (справа А-24844)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№08/231-1530/ПР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Жмаченка, 14 у Дніпровському районі м. Києва” (справа А-24986)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№08/231-1531/ПР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17 у Дніпровському районі м. Києва” (справа А-24842) 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№08/231-1532/ПР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Жмаченка, 6 у Дніпровському районі м. Києва” (справа А-24987) 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№08/231-1533/ПР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23.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Валентина Сєрова, 32 у Дніпровському районі м. Києва” (справа А-24903)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№08/231-1537/ПР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24. 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Карбишева, 18в у Дніпровському районі м. Києва” (справа А-24922)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№08/231-1538/ПР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25.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11 у Дніпровському районі м. Києва” (справа А-24902)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№08/231-1539/ПР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Едуарда Вільде, 5 у Дніпровському районі м. Києва” (справа А-24913)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№08/231-1541/ПР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Краківській, 4-а у Дніпровському районі м. Києва” (справа А-24886)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№08/231-1542/ПР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17-а у Дніпровському районі м. Києва” (справа А-24891) 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№08/231-1543/ПР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14-а у Дніпровському районі м. Києва” (справа А-24900)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№08/231-1544/ПР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Червоноткацькій, 12 у Дніпровському районі м. Києва” (справа А-24917)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№08/231-1545/ПР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Верховної Ради, 15-а у Дніпровському районі м. Києва” (справа А-24916)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№08/231-1546/ПР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Будівельників, 37 у Дніпровському районі м. Києва” (справа А-24893)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№08/231-1547/ПР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33.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15-а у Дніпровському районі м. Києва” (справа А-24887)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№08/231-1548/ПР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Будівельників, 24-а у Дніпровському районі м. Києва” (справа А-24918) 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№08/231-1549/ПР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35.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5 у Дніпровському районі м. Києва” (справа А-24978)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№08/231-1550/ПР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31-а у Дніпровському районі м. Києва” (справа А-24908)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№08/231-1551/ПР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 xml:space="preserve">37.  Про перелік проблемних земельних ділянок, які оформляються під закладами освіти </w:t>
      </w:r>
      <w:r>
        <w:rPr>
          <w:rFonts w:eastAsia="Calibri"/>
          <w:i/>
          <w:iCs/>
          <w:color w:val="000000"/>
          <w:szCs w:val="28"/>
        </w:rPr>
        <w:t>(доп. Департамент освіти і науки, молоді та спорту, Департамент земельних ресурсів, управління освіти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38. Про повторний розгляд проекту рішення Київської міської ради“Про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Касіяна, Якубовського, Вільямса, Трутенко, Васильківська Голосіївського району м. Києва”</w:t>
      </w:r>
      <w:r>
        <w:rPr>
          <w:rFonts w:eastAsia="Calibri"/>
          <w:i/>
          <w:iCs/>
          <w:color w:val="000000"/>
          <w:szCs w:val="28"/>
        </w:rPr>
        <w:t xml:space="preserve"> (звіт робочої групи) (доручення заступника міського голови-секретаря Київської міської ради Прокопіва В.В. №08/231-159/ПР від 23.01.2018)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 xml:space="preserve">39. Про звернення ГО “НАРКОНОН” щодо участі у проекті “Майбутнє дітей України, вільне від наркотиків!” </w:t>
      </w:r>
      <w:r>
        <w:rPr>
          <w:rFonts w:eastAsia="Calibri"/>
          <w:i/>
          <w:iCs/>
          <w:color w:val="000000"/>
          <w:szCs w:val="28"/>
        </w:rPr>
        <w:t>(доп. ГО).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40. Про розгляд проекту рішення Київської міської ради  “Про затвердження переліку об’єктів комунальної власності територіальної громади міста Києва, право оренди яких виборюється на конкурсних засадах )”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№08/231-1181/ПР від 10.04.2018) (доп. Департамент комунальної власності, Дніпровська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41.  Про звернення депутата Київської міської ради В.Васильчука щодо внесення змін до Програми економічного і соціального розвитку м. Києва на 2018 рік в частині виділення додаткових коштів з бюджету м. Києва на</w:t>
      </w:r>
      <w:r>
        <w:rPr>
          <w:rFonts w:eastAsia="Calibri"/>
          <w:bCs/>
          <w:iCs/>
          <w:color w:val="000000"/>
          <w:szCs w:val="28"/>
        </w:rPr>
        <w:t xml:space="preserve"> проведення реконструкцій</w:t>
      </w:r>
      <w:r>
        <w:rPr>
          <w:rFonts w:eastAsia="Calibri"/>
          <w:iCs/>
          <w:color w:val="000000"/>
          <w:szCs w:val="28"/>
        </w:rPr>
        <w:t xml:space="preserve"> стадіону Спеціалізованої школи №120 по вул. Райдужна, 17-Б та спортивного майданчика на бульв. Перова, 23 у Дніпровському районі м. Києва</w:t>
      </w:r>
      <w:r>
        <w:rPr>
          <w:rFonts w:eastAsia="Calibri"/>
          <w:i/>
          <w:iCs/>
          <w:color w:val="000000"/>
          <w:szCs w:val="28"/>
        </w:rPr>
        <w:t xml:space="preserve"> (доп. Васильчук В.В.).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42. Різне.</w:t>
      </w:r>
    </w:p>
    <w:p>
      <w:pPr>
        <w:pStyle w:val="Normal"/>
        <w:ind w:firstLine="567"/>
        <w:rPr/>
      </w:pPr>
      <w:r>
        <w:rPr/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СЛУХАЛИ:</w:t>
      </w: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Style12"/>
          <w:rFonts w:eastAsia="Calibri" w:cs="Times New Roman" w:ascii="Times New Roman" w:hAnsi="Times New Roman"/>
          <w:bCs/>
          <w:color w:val="000000"/>
          <w:sz w:val="28"/>
          <w:szCs w:val="28"/>
          <w:u w:val="none"/>
          <w:lang w:val="uk-UA"/>
        </w:rPr>
        <w:t>Старостенко Г.В.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- голову комісії щодо прийняття за основу порядку денного із 42 питань засідання постійної комісії Київської міської ради з питань освіти, науки, молоді та спорту від </w:t>
      </w:r>
      <w:bookmarkStart w:id="3" w:name="__DdeLink__2949_2928827951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ru-RU"/>
        </w:rPr>
        <w:t>4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.05.</w:t>
      </w:r>
      <w:bookmarkEnd w:id="3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2018.</w:t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ВИРІШИЛИ:</w:t>
      </w: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Прийняти за основу порядок денний із 42 питань засідання постійної комісії Київської міської ради з питань освіти, науки, молоді та спорту від 2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4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.05.2018.</w:t>
      </w:r>
    </w:p>
    <w:p>
      <w:pPr>
        <w:pStyle w:val="NoSpacing"/>
        <w:suppressAutoHyphens w:val="false"/>
        <w:ind w:firstLine="510"/>
        <w:jc w:val="both"/>
        <w:textAlignment w:val="baseline"/>
        <w:rPr/>
      </w:pP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uk-UA"/>
        </w:rPr>
        <w:t>ГОЛОСУВАЛИ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: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uk-UA"/>
        </w:rPr>
        <w:t xml:space="preserve">за -4,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проти - немає, утрималось – немає, 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>не голосували - 1.</w:t>
      </w:r>
      <w:r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 xml:space="preserve"> 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  <w:highlight w:val="white"/>
          <w:lang w:val="uk-UA"/>
        </w:rPr>
        <w:t>Рішення прийнято.</w:t>
      </w:r>
    </w:p>
    <w:p>
      <w:pPr>
        <w:pStyle w:val="Normal"/>
        <w:suppressAutoHyphens w:val="false"/>
        <w:ind w:hanging="0"/>
        <w:jc w:val="center"/>
        <w:textAlignment w:val="baseline"/>
        <w:rPr>
          <w:b/>
          <w:b/>
          <w:sz w:val="27"/>
          <w:szCs w:val="27"/>
          <w:highlight w:val="white"/>
        </w:rPr>
      </w:pPr>
      <w:r>
        <w:rPr>
          <w:b/>
          <w:sz w:val="27"/>
          <w:szCs w:val="27"/>
          <w:highlight w:val="white"/>
        </w:rPr>
      </w:r>
    </w:p>
    <w:p>
      <w:pPr>
        <w:pStyle w:val="Normal"/>
        <w:ind w:firstLine="850"/>
        <w:jc w:val="center"/>
        <w:rPr>
          <w:rStyle w:val="Style12"/>
          <w:rFonts w:eastAsia="Calibri"/>
          <w:b/>
          <w:b/>
          <w:bCs/>
          <w:szCs w:val="28"/>
        </w:rPr>
      </w:pPr>
      <w:r>
        <w:rPr>
          <w:rFonts w:eastAsia="Calibri"/>
          <w:b/>
          <w:bCs/>
          <w:szCs w:val="28"/>
        </w:rPr>
      </w:r>
    </w:p>
    <w:p>
      <w:pPr>
        <w:pStyle w:val="Normal"/>
        <w:suppressAutoHyphens w:val="false"/>
        <w:ind w:hanging="0"/>
        <w:jc w:val="center"/>
        <w:textAlignment w:val="baseline"/>
        <w:rPr/>
      </w:pPr>
      <w:r>
        <w:rPr>
          <w:rFonts w:eastAsia="Calibri"/>
          <w:b/>
          <w:color w:val="000000"/>
          <w:sz w:val="27"/>
          <w:szCs w:val="27"/>
        </w:rPr>
        <w:t xml:space="preserve">ПОРЯДОК ДЕННИЙ </w:t>
      </w:r>
    </w:p>
    <w:p>
      <w:pPr>
        <w:pStyle w:val="Normal"/>
        <w:suppressAutoHyphens w:val="false"/>
        <w:ind w:hanging="0"/>
        <w:jc w:val="center"/>
        <w:textAlignment w:val="baseline"/>
        <w:rPr/>
      </w:pPr>
      <w:r>
        <w:rPr>
          <w:rFonts w:eastAsia="Calibri"/>
          <w:b/>
          <w:color w:val="000000"/>
          <w:sz w:val="27"/>
          <w:szCs w:val="27"/>
        </w:rPr>
        <w:t>зі змінами:</w:t>
      </w:r>
    </w:p>
    <w:p>
      <w:pPr>
        <w:pStyle w:val="Normal"/>
        <w:suppressAutoHyphens w:val="false"/>
        <w:ind w:hanging="0"/>
        <w:textAlignment w:val="baseline"/>
        <w:rPr>
          <w:rFonts w:eastAsia="Calibri"/>
          <w:iCs/>
          <w:color w:val="FF0000"/>
          <w:szCs w:val="28"/>
        </w:rPr>
      </w:pPr>
      <w:r>
        <w:rPr>
          <w:rFonts w:eastAsia="Calibri"/>
          <w:iCs/>
          <w:color w:val="FF0000"/>
          <w:szCs w:val="28"/>
        </w:rPr>
      </w:r>
    </w:p>
    <w:p>
      <w:pPr>
        <w:pStyle w:val="Normal"/>
        <w:ind w:firstLine="567"/>
        <w:rPr/>
      </w:pPr>
      <w:r>
        <w:rPr>
          <w:rFonts w:eastAsia="Calibri"/>
          <w:color w:val="000000"/>
          <w:szCs w:val="28"/>
          <w:highlight w:val="white"/>
          <w:lang w:val="en-US"/>
        </w:rPr>
        <w:t xml:space="preserve"> </w:t>
      </w:r>
      <w:r>
        <w:rPr>
          <w:rFonts w:eastAsia="Calibri"/>
          <w:iCs/>
          <w:color w:val="000000"/>
          <w:szCs w:val="28"/>
          <w:highlight w:val="white"/>
          <w:lang w:val="en-US"/>
        </w:rPr>
        <w:t xml:space="preserve"> </w:t>
      </w:r>
      <w:r>
        <w:rPr>
          <w:rFonts w:eastAsia="Calibri"/>
          <w:iCs/>
          <w:color w:val="000000"/>
          <w:szCs w:val="28"/>
          <w:highlight w:val="white"/>
          <w:lang w:val="uk-UA" w:eastAsia="zh-CN"/>
        </w:rPr>
        <w:t xml:space="preserve">1. </w:t>
      </w:r>
      <w:r>
        <w:rPr>
          <w:rStyle w:val="Style12"/>
          <w:rFonts w:eastAsia="Calibri"/>
          <w:i w:val="false"/>
          <w:iCs w:val="false"/>
          <w:color w:val="000000"/>
          <w:szCs w:val="28"/>
          <w:highlight w:val="white"/>
          <w:u w:val="none"/>
          <w:lang w:val="uk-UA" w:eastAsia="zh-CN"/>
        </w:rPr>
        <w:t xml:space="preserve"> </w:t>
      </w:r>
      <w:r>
        <w:rPr>
          <w:rStyle w:val="Style12"/>
          <w:rFonts w:eastAsia="Calibri"/>
          <w:b w:val="false"/>
          <w:bCs w:val="false"/>
          <w:i w:val="false"/>
          <w:iCs w:val="false"/>
          <w:color w:val="000000"/>
          <w:sz w:val="28"/>
          <w:szCs w:val="28"/>
          <w:highlight w:val="white"/>
          <w:u w:val="none"/>
          <w:lang w:val="uk-UA" w:eastAsia="zh-CN"/>
        </w:rPr>
        <w:t>Про посилення охорони та заходів безпеки у закладах  освіти у зв'язку з поширенням  випадків отруєння школярів</w:t>
      </w:r>
      <w:r>
        <w:rPr>
          <w:rStyle w:val="Style12"/>
          <w:rFonts w:eastAsia="Calibri"/>
          <w:i/>
          <w:iCs/>
          <w:color w:val="000000"/>
          <w:szCs w:val="28"/>
          <w:highlight w:val="white"/>
          <w:u w:val="none"/>
          <w:lang w:val="uk-UA" w:eastAsia="zh-CN"/>
        </w:rPr>
        <w:t xml:space="preserve"> (доп. Старостенко Г.В.)</w:t>
      </w:r>
      <w:r>
        <w:rPr>
          <w:rStyle w:val="Style12"/>
          <w:rFonts w:eastAsia="Calibri"/>
          <w:i/>
          <w:iCs/>
          <w:color w:val="000000"/>
          <w:szCs w:val="28"/>
          <w:highlight w:val="white"/>
          <w:u w:val="none"/>
          <w:lang w:val="en-US"/>
        </w:rPr>
        <w:t xml:space="preserve"> 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 xml:space="preserve"> </w:t>
      </w:r>
      <w:r>
        <w:rPr>
          <w:rFonts w:eastAsia="Calibri"/>
          <w:iCs/>
          <w:color w:val="000000"/>
          <w:szCs w:val="28"/>
        </w:rPr>
        <w:t>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Уральській, 2/10 у Голосіївському районі м. Києва” (справа А-24955)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№08/231-1528/ПР від 10.05.2018) (доп. Департамент земельних ресурсів, управління освіти Голосіївської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 xml:space="preserve">3.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Михайла Стельмаха, 9 у Голосіївському районі м. Києва” (справа А-24954)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№08/231-1572/ПР від 14.05.2018) (доп. Департамент земельних ресурсів, управління освіти Голосіївської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4.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Академіка Глушкова, 20 у Голосіївському районі м. Києва” (справа А-25057)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№08/231-1570/ПР від 14.05.2018) (доп. Департамент земельних ресурсів, управління освіти Голосіївської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5.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Стратегічному шосе, 54 у Голосіївському районі м. Києва” (справа А-25061)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№08/231-1576/ПР від 14.05.2018) (доп. Департамент земельних ресурсів, управління освіти Голосіївської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6. Про розгляд проекту рішення Київської міської ради “Про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Пугачова, 10 у Шевченківському районі м. Києва” (справа А-25059)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№08/231-1579/ПР від 14.05.2018) (доп. Департамент земельних ресурсів, управління освіти Шевченківської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 xml:space="preserve">“Про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(школа № 9) на просп. Маршала Рокоссовського, 5 в Оболонському районі м. Києва” (справа А-25067)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№08/231-1524/ПР від 10.05.2018) (доп. Департамент земельних ресурсів, управління освіти Оболонської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гімназії “Троєщина” ІІ-ІІІ ступенів Деснянського району міста Києва земельної ділянки для експлуатації та обслуговування навчального закладу на вул. Марини Цвєтаєвої, 14-в у Деснянському районі м. Києва” (справа А-24767) 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№08/231-1540/ПР від 10.05.2018)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22-б у Дніпровському районі м. Києва” (справа А-24977)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№08/231-1534/ПР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Попудренка, 24 у Дніпровському районі м. Києва” (справа А-24894)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№08/231-1575/ПР від 14.05.2018)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Юності, 12 у Дніпровському районі м. Києва” (справа А-24892)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№08/231-1573/ПР від 14.05.2018)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 xml:space="preserve">12. Про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Юності, 5 у Дніпровському районі м. Києва” (справа А-24914)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№08/231-1569/ПР від 14.05.2018)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13. Про розгляд проекту рішення Київської міської ради</w:t>
        <w:br/>
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Червоноткацькій, 17-а у Дніпровському районі м. Києва” (справа А-24885)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№08/231-1571/ПР від 14.05.2018)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Рогозівській, 4 у Дніпровському районі м. Києва” (справа А-24905) 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№08/231-1404/ПР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15.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8-А у Дніпровському районі м. Києва” (справа А-24884) 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№08/231-1536/ПР від 10.05.2018) (доп. Департамент земельних ресурсів, управління освіти Дніпровської 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Рогозівській, 10-а у Дніпровському районі м. Києва” (справа А-24915)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№08/231-1525/ПР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17. 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Бажова, 6-а у Дніпровському районі м. Києва” (справа А-24898)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№08/231-1526/ПР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Всеволода Нестайка, 5-а у Дніпровському районі м. Києва” (справа А-24824) 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№08/231-1527/ПР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Юрія Гагаріна, 19 у Дніпровському районі м. Києва” (справа А-24888) 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№08/231-1529/ПР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Міста Шалетт, 10а у Дніпровському районі м. Києва” (справа А-24844)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№08/231-1530/ПР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Жмаченка, 14 у Дніпровському районі м. Києва” (справа А-24986)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№08/231-1531/ПР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17 у Дніпровському районі м. Києва” (справа А-24842) 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№08/231-1532/ПР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23.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Жмаченка, 6 у Дніпровському районі м. Києва” (справа А-24987) 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№08/231-1533/ПР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Валентина Сєрова, 32 у Дніпровському районі м. Києва” (справа А-24903)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№08/231-1537/ПР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25. 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Карбишева, 18в у Дніпровському районі м. Києва” (справа А-24922)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№08/231-1538/ПР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11 у Дніпровському районі м. Києва” (справа А-24902)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№08/231-1539/ПР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Едуарда Вільде, 5 у Дніпровському районі м. Києва” (справа А-24913)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№08/231-1541/ПР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Краківській, 4-а у Дніпровському районі м. Києва” (справа А-24886)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№08/231-1542/ПР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17-а у Дніпровському районі м. Києва” (справа А-24891) 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№08/231-1543/ПР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14-а у Дніпровському районі м. Києва” (справа А-24900)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№08/231-1544/ПР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Червоноткацькій, 12 у Дніпровському районі м. Києва” (справа А-24917)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№08/231-1545/ПР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Верховної Ради, 15-а у Дніпровському районі м. Києва” (справа А-24916)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№08/231-1546/ПР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33.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Будівельників, 37 у Дніпровському районі м. Києва” (справа А-24893)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№08/231-1547/ПР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15-а у Дніпровському районі м. Києва” (справа А-24887)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№08/231-1548/ПР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35.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Будівельників, 24-а у Дніпровському районі м. Києва” (справа А-24918) 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№08/231-1549/ПР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5 у Дніпровському районі м. Києва” (справа А-24978)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№08/231-1550/ПР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31-а у Дніпровському районі м. Києва” (справа А-24908)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№08/231-1551/ПР від 10.05.2018)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 xml:space="preserve">38.  Про перелік проблемних земельних ділянок, які оформляються під закладами освіти </w:t>
      </w:r>
      <w:r>
        <w:rPr>
          <w:rFonts w:eastAsia="Calibri"/>
          <w:i/>
          <w:iCs/>
          <w:color w:val="000000"/>
          <w:szCs w:val="28"/>
        </w:rPr>
        <w:t>(доп. Департамент освіти і науки, молоді та спорту, Департамент земельних ресурсів, управління освіти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39. Про повторний розгляд проекту рішення Київської міської ради“Про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Касіяна, Якубовського, Вільямса, Трутенко, Васильківська Голосіївського району м. Києва”</w:t>
      </w:r>
      <w:r>
        <w:rPr>
          <w:rFonts w:eastAsia="Calibri"/>
          <w:i/>
          <w:iCs/>
          <w:color w:val="000000"/>
          <w:szCs w:val="28"/>
        </w:rPr>
        <w:t xml:space="preserve"> (звіт робочої групи) (доручення заступника міського голови-секретаря Київської міської ради Прокопіва В.В. №08/231-159/ПР від 23.01.2018)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 xml:space="preserve">40. Про звернення ГО “НАРКОНОН” щодо участі у проекті “Майбутнє дітей України, вільне від наркотиків!” </w:t>
      </w:r>
      <w:r>
        <w:rPr>
          <w:rFonts w:eastAsia="Calibri"/>
          <w:i/>
          <w:iCs/>
          <w:color w:val="000000"/>
          <w:szCs w:val="28"/>
        </w:rPr>
        <w:t>(доп. ГО).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41. Про розгляд проекту рішення Київської міської ради  “Про затвердження переліку об’єктів комунальної власності територіальної громади міста Києва, право оренди яких виборюється на конкурсних засадах )”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№08/231-1181/ПР від 10.04.2018) (доп. Департамент комунальної власності, Дніпровська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42.  Про звернення депутата Київської міської ради В.Васильчука щодо внесення змін до Програми економічного і соціального розвитку м. Києва на 2018 рік в частині виділення додаткових коштів з бюджету м. Києва на</w:t>
      </w:r>
      <w:r>
        <w:rPr>
          <w:rFonts w:eastAsia="Calibri"/>
          <w:bCs/>
          <w:iCs/>
          <w:color w:val="000000"/>
          <w:szCs w:val="28"/>
        </w:rPr>
        <w:t xml:space="preserve"> проведення реконструкцій</w:t>
      </w:r>
      <w:r>
        <w:rPr>
          <w:rFonts w:eastAsia="Calibri"/>
          <w:iCs/>
          <w:color w:val="000000"/>
          <w:szCs w:val="28"/>
        </w:rPr>
        <w:t xml:space="preserve"> стадіону Спеціалізованої школи №120 по вул. Райдужна, 17-Б та спортивного майданчика на бульв. Перова, 23 у Дніпровському районі м. Києва</w:t>
      </w:r>
      <w:r>
        <w:rPr>
          <w:rFonts w:eastAsia="Calibri"/>
          <w:i/>
          <w:iCs/>
          <w:color w:val="000000"/>
          <w:szCs w:val="28"/>
        </w:rPr>
        <w:t xml:space="preserve"> (доп. Васильчук В.В.).</w:t>
      </w:r>
    </w:p>
    <w:p>
      <w:pPr>
        <w:pStyle w:val="Normal"/>
        <w:ind w:firstLine="567"/>
        <w:rPr>
          <w:rFonts w:eastAsia="Calibri"/>
          <w:color w:val="000000"/>
          <w:szCs w:val="28"/>
          <w:highlight w:val="white"/>
          <w:lang w:val="en-US"/>
        </w:rPr>
      </w:pPr>
      <w:r>
        <w:rPr>
          <w:rFonts w:eastAsia="Calibri"/>
          <w:color w:val="000000"/>
          <w:szCs w:val="28"/>
          <w:highlight w:val="white"/>
          <w:lang w:val="en-US"/>
        </w:rPr>
      </w:r>
    </w:p>
    <w:p>
      <w:pPr>
        <w:pStyle w:val="Normal"/>
        <w:suppressAutoHyphens w:val="false"/>
        <w:ind w:firstLine="567"/>
        <w:textAlignment w:val="baseline"/>
        <w:rPr>
          <w:rStyle w:val="Style12"/>
          <w:iCs/>
          <w:color w:val="000000"/>
          <w:u w:val="none"/>
        </w:rPr>
      </w:pPr>
      <w:r>
        <w:rPr>
          <w:iCs/>
          <w:color w:val="000000"/>
          <w:u w:val="none"/>
        </w:rPr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СЛУХАЛИ: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Старостенко Г.В. - голову комісії щодо прийняття в цілому  порядку денного із 42 питань засідання постійної комісії Київської міської ради з питань освіти, науки, молоді та спорту від 2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ru-RU"/>
        </w:rPr>
        <w:t>4</w:t>
      </w:r>
      <w:bookmarkStart w:id="4" w:name="__DdeLink__2949_292882795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.05.</w:t>
      </w:r>
      <w:bookmarkEnd w:id="4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2018 із змінами черговості питань порядку денного питаннями.</w:t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ВИРІШИЛИ: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Прийняти в цілому порядок денний із 42 питань засідання постійної комісії Київської міської ради з питань освіти, науки, молоді та спорту від 2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4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.05.2018.</w:t>
      </w:r>
    </w:p>
    <w:p>
      <w:pPr>
        <w:pStyle w:val="NoSpacing"/>
        <w:suppressAutoHyphens w:val="false"/>
        <w:ind w:firstLine="510"/>
        <w:jc w:val="both"/>
        <w:textAlignment w:val="baseline"/>
        <w:rPr/>
      </w:pP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  <w:lang w:val="uk-UA"/>
        </w:rPr>
        <w:t>ГОЛОСУВАЛИ</w:t>
      </w: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</w:rPr>
        <w:t xml:space="preserve">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за -4, 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проти - немає, утрималось – немає, не голосували -1.  </w:t>
      </w:r>
      <w:r>
        <w:rPr>
          <w:rStyle w:val="Style12"/>
          <w:rFonts w:eastAsia="Calibri" w:ascii="Times New Roman" w:hAnsi="Times New Roman"/>
          <w:b/>
          <w:bCs/>
          <w:i/>
          <w:color w:val="000000"/>
          <w:sz w:val="28"/>
          <w:szCs w:val="28"/>
          <w:highlight w:val="white"/>
          <w:u w:val="none"/>
          <w:lang w:val="uk-UA"/>
        </w:rPr>
        <w:t>Рішення прийнято.</w:t>
      </w:r>
    </w:p>
    <w:p>
      <w:pPr>
        <w:pStyle w:val="NoSpacing"/>
        <w:suppressAutoHyphens w:val="false"/>
        <w:ind w:firstLine="510"/>
        <w:jc w:val="both"/>
        <w:textAlignment w:val="baseline"/>
        <w:rPr>
          <w:rStyle w:val="Style12"/>
          <w:rFonts w:ascii="Times New Roman" w:hAnsi="Times New Roman" w:eastAsia="Calibri"/>
          <w:b/>
          <w:b/>
          <w:bCs/>
          <w:i/>
          <w:i/>
          <w:sz w:val="28"/>
          <w:szCs w:val="28"/>
          <w:highlight w:val="white"/>
          <w:lang w:val="uk-UA"/>
        </w:rPr>
      </w:pPr>
      <w:r>
        <w:rPr>
          <w:rFonts w:eastAsia="Calibri" w:ascii="Times New Roman" w:hAnsi="Times New Roman"/>
          <w:b/>
          <w:bCs/>
          <w:i/>
          <w:sz w:val="28"/>
          <w:szCs w:val="28"/>
          <w:highlight w:val="white"/>
          <w:lang w:val="uk-UA"/>
        </w:rPr>
      </w:r>
    </w:p>
    <w:p>
      <w:pPr>
        <w:pStyle w:val="Normal"/>
        <w:ind w:hanging="0"/>
        <w:jc w:val="center"/>
        <w:rPr/>
      </w:pPr>
      <w:r>
        <w:rPr>
          <w:b/>
          <w:iCs/>
          <w:szCs w:val="28"/>
        </w:rPr>
        <w:t>Розгляд (обговорення) питань порядку денного: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68" w:type="dxa"/>
        <w:jc w:val="left"/>
        <w:tblInd w:w="-35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111"/>
        <w:gridCol w:w="7956"/>
      </w:tblGrid>
      <w:tr>
        <w:trPr>
          <w:trHeight w:val="60" w:hRule="atLeast"/>
        </w:trPr>
        <w:tc>
          <w:tcPr>
            <w:tcW w:w="2111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1.</w:t>
            </w:r>
            <w:r>
              <w:rPr>
                <w:szCs w:val="28"/>
                <w:lang w:val="uk-UA"/>
              </w:rPr>
              <w:t xml:space="preserve"> 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bookmarkStart w:id="5" w:name="__DdeLink__3142_2816617589"/>
            <w:bookmarkStart w:id="6" w:name="__DdeLink__3142_2816617589"/>
            <w:bookmarkEnd w:id="6"/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2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  <w:lang w:val="uk-UA"/>
              </w:rPr>
            </w:pPr>
            <w:r>
              <w:rPr>
                <w:b/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3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szCs w:val="28"/>
                <w:lang w:val="uk-UA"/>
              </w:rPr>
              <w:t xml:space="preserve">4. </w:t>
            </w:r>
            <w:r>
              <w:rPr>
                <w:szCs w:val="28"/>
                <w:lang w:val="uk-UA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5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  <w:lang w:val="uk-UA"/>
              </w:rPr>
            </w:pPr>
            <w:r>
              <w:rPr>
                <w:b/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  <w:lang w:val="uk-UA"/>
              </w:rPr>
            </w:pPr>
            <w:r>
              <w:rPr>
                <w:b/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6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  <w:lang w:val="uk-UA"/>
              </w:rPr>
            </w:pPr>
            <w:r>
              <w:rPr>
                <w:b/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  <w:lang w:val="uk-UA"/>
              </w:rPr>
            </w:pPr>
            <w:r>
              <w:rPr>
                <w:b/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7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8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bookmarkStart w:id="7" w:name="__DdeLink__3142_281661758922"/>
            <w:bookmarkStart w:id="8" w:name="__DdeLink__3142_281661758923"/>
            <w:bookmarkStart w:id="9" w:name="__DdeLink__3142_281661758925"/>
            <w:bookmarkStart w:id="10" w:name="__DdeLink__3142_281661758921"/>
            <w:bookmarkEnd w:id="7"/>
            <w:bookmarkEnd w:id="8"/>
            <w:bookmarkEnd w:id="9"/>
            <w:bookmarkEnd w:id="10"/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9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10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11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12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13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  <w:lang w:val="uk-UA"/>
              </w:rPr>
            </w:pPr>
            <w:r>
              <w:rPr>
                <w:b/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14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15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16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17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18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19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20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21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22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23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24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25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26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27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28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29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30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31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>32</w:t>
            </w:r>
            <w:r>
              <w:rPr>
                <w:szCs w:val="28"/>
                <w:lang w:val="uk-UA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 xml:space="preserve"> </w:t>
            </w:r>
            <w:r>
              <w:rPr>
                <w:b/>
                <w:bCs/>
                <w:szCs w:val="28"/>
                <w:lang w:val="uk-UA"/>
              </w:rPr>
              <w:t xml:space="preserve">33. </w:t>
            </w:r>
            <w:r>
              <w:rPr>
                <w:bCs/>
                <w:szCs w:val="28"/>
                <w:lang w:val="uk-UA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 xml:space="preserve">34. </w:t>
            </w:r>
            <w:r>
              <w:rPr>
                <w:bCs/>
                <w:szCs w:val="28"/>
                <w:lang w:val="uk-UA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 xml:space="preserve">35. </w:t>
            </w:r>
            <w:r>
              <w:rPr>
                <w:bCs/>
                <w:szCs w:val="28"/>
                <w:lang w:val="uk-UA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 xml:space="preserve"> </w:t>
            </w:r>
            <w:r>
              <w:rPr>
                <w:b/>
                <w:bCs/>
                <w:szCs w:val="28"/>
                <w:lang w:val="uk-UA"/>
              </w:rPr>
              <w:t xml:space="preserve">36. </w:t>
            </w:r>
            <w:r>
              <w:rPr>
                <w:bCs/>
                <w:szCs w:val="28"/>
                <w:lang w:val="uk-UA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 xml:space="preserve">37. </w:t>
            </w:r>
            <w:r>
              <w:rPr>
                <w:bCs/>
                <w:szCs w:val="28"/>
                <w:lang w:val="uk-UA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 xml:space="preserve">38. </w:t>
            </w:r>
            <w:r>
              <w:rPr>
                <w:bCs/>
                <w:szCs w:val="28"/>
                <w:lang w:val="uk-UA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 xml:space="preserve">39. </w:t>
            </w:r>
            <w:r>
              <w:rPr>
                <w:bCs/>
                <w:szCs w:val="28"/>
                <w:lang w:val="uk-UA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 xml:space="preserve">40. </w:t>
            </w:r>
            <w:r>
              <w:rPr>
                <w:bCs/>
                <w:szCs w:val="28"/>
                <w:lang w:val="uk-UA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 xml:space="preserve">41. </w:t>
            </w:r>
            <w:r>
              <w:rPr>
                <w:bCs/>
                <w:szCs w:val="28"/>
                <w:lang w:val="uk-UA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  <w:lang w:val="uk-UA"/>
              </w:rPr>
              <w:t xml:space="preserve">42. </w:t>
            </w:r>
            <w:r>
              <w:rPr>
                <w:bCs/>
                <w:szCs w:val="28"/>
                <w:lang w:val="uk-UA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  <w:lang w:val="uk-UA"/>
              </w:rPr>
              <w:t xml:space="preserve">Голова </w:t>
            </w:r>
          </w:p>
          <w:p>
            <w:pPr>
              <w:pStyle w:val="Normal"/>
              <w:ind w:hanging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  <w:lang w:val="uk-UA"/>
              </w:rPr>
              <w:t>Секретар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  <w:lang w:val="uk-UA"/>
              </w:rPr>
            </w:pPr>
            <w:r>
              <w:rPr>
                <w:b/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</w:tc>
        <w:tc>
          <w:tcPr>
            <w:tcW w:w="7956" w:type="dxa"/>
            <w:tcBorders/>
            <w:shd w:color="auto" w:fill="FFFFFF" w:val="clear"/>
          </w:tcPr>
          <w:p>
            <w:pPr>
              <w:pStyle w:val="Normal"/>
              <w:ind w:hanging="0"/>
              <w:rPr/>
            </w:pPr>
            <w:r>
              <w:rPr>
                <w:rStyle w:val="Style12"/>
                <w:rFonts w:eastAsia="Calibri"/>
                <w:i w:val="false"/>
                <w:iCs w:val="false"/>
                <w:color w:val="000000"/>
                <w:szCs w:val="28"/>
                <w:u w:val="none"/>
                <w:lang w:val="uk-UA"/>
              </w:rPr>
              <w:t>Старостенко Г.В. - голову комісії щодо</w:t>
            </w:r>
            <w:r>
              <w:rPr>
                <w:rStyle w:val="Style12"/>
                <w:rFonts w:eastAsia="Calibri"/>
                <w:i w:val="false"/>
                <w:iCs w:val="false"/>
                <w:color w:val="000000"/>
                <w:szCs w:val="28"/>
                <w:highlight w:val="white"/>
                <w:u w:val="none"/>
                <w:lang w:val="uk-UA"/>
              </w:rPr>
              <w:t xml:space="preserve"> рекомендацій Міністерства освіти і науки про  </w:t>
            </w:r>
            <w:r>
              <w:rPr>
                <w:rStyle w:val="Style12"/>
                <w:rFonts w:eastAsia="Calibri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/>
              </w:rPr>
              <w:t>посилення охорони та заходів безпеки у закладах  освіти у зв'язку з поширенням  випадків отруєння школярів.</w:t>
            </w:r>
          </w:p>
          <w:p>
            <w:pPr>
              <w:pStyle w:val="Normal"/>
              <w:ind w:hanging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  <w:lang w:val="uk-UA" w:eastAsia="uk-UA"/>
              </w:rPr>
              <w:t>Шульга Н.І.,  Фіданян О.Г., Паладій С.В., Васильчук В.В.</w:t>
            </w:r>
          </w:p>
          <w:p>
            <w:pPr>
              <w:pStyle w:val="Normal"/>
              <w:ind w:hanging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ind w:left="0" w:right="0" w:hanging="0"/>
              <w:jc w:val="both"/>
              <w:rPr/>
            </w:pPr>
            <w:r>
              <w:rPr>
                <w:rStyle w:val="Strong"/>
                <w:rFonts w:eastAsia="Calibr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  <w:lang w:val="uk-UA" w:eastAsia="zh-CN" w:bidi="ar-SA"/>
              </w:rPr>
              <w:t xml:space="preserve">Доручити Департаменту освіти і науки виконавчого органу Київської міської ради (КМДА) та головам районних у місті Києві державних адміністрацій провести організаційно-правові заходи щодо посилення охорони </w:t>
            </w:r>
            <w:r>
              <w:rPr>
                <w:rStyle w:val="Style12"/>
                <w:rFonts w:eastAsia="Calibri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та заходів безпеки у закладах  освіти у зв'язку з поширенням  випадків отруєння школярів газоподібними речовинами.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ind w:left="0" w:right="0" w:firstLine="283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ru-RU"/>
              </w:rPr>
              <w:t>За – 4, проти – немає, утрималось – немає не голосували-1.</w:t>
            </w:r>
            <w:r>
              <w:rPr>
                <w:rStyle w:val="Style12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Уральській, 2/10 у Голосіївському районі м. Києва” (справа А-24955)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№08/231-1528/ПР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 “Про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Уральській, 2/10 у Голосіївському районі м. Києва”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Михайла Стельмаха, 9 у Голосіївському районі м. Києва” (справа А-24954) 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 xml:space="preserve">(доручення заступника міського голови-секретаря Київської міської ради Прокопіва В.В. №08/231-1572/ПР від 14.05.2018).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Михайла Стельмаха, 9 у Голосіївському районі м. Києва”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“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Академіка Глушкова, 20 у Голосіївському районі м. Києва” (справа А-25057)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№08/231-1570/ПР від 14.05.2018).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Підтримати проект рішення Київської міської ради “Про </w:t>
              <w:br/>
              <w:t>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Академіка Глушкова, 20 у Голосіївському районі м. Києва” (справа А-25057)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Стратегічному шосе, 54 у Голосіївському районі м. Києва” (справа А-25061)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№08/231-1576/ПР від 14.05.2018).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Підтримати проект рішення Київської міської ради “Про </w:t>
              <w:br/>
              <w:t>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Стратегічному шосе, 54 у Голосіївському районі м. Києва” (справа А-25061)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Пугачова, 10 у Шевченківському районі м. Києва” (справа А-25059)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№08/231-1579/ПР від 14.05.2018).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Підтримати проект рішення Київської міської ради “Про  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Пугачова, 10 у Шевченківському районі м. Києва” (справа А-25059)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(школа № 9) на просп. Маршала Рокоссовського, 5 в Оболонському районі м. Києва” (справа А-25067)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№08/231-1524/ПР від 10.05.2018).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 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(школа № 9) на просп. Маршала Рокоссовського, 5 в Оболонському районі м. Києва” (справа А-25067)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 надання гімназії “Троєщина” ІІ-ІІІ ступенів Деснянського району міста Києва земельної ділянки для експлуатації та обслуговування навчального закладу на вул. Марини Цвєтаєвої, 14-в у Деснянському районі м. Києва” (справа А-24767)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№08/231-1540/ПР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u w:val="single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singl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надання гімназії “Троєщина” ІІ-ІІІ ступенів Деснянського району міста Києва земельної ділянки для експлуатації та обслуговування навчального закладу на вул. Марини Цвєтаєвої, 14-в у Деснянському районі м. Києва” (справа А-24767)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“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22-б у Дніпровському районі м. Києва” (справа А-24977)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№08/231-1534/ПР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Генерала Ватутіна, 22-б у Дніпровському районі м. Києва” (справа А-24977)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Попудренка, 24 у Дніпровському районі м. Києва” (справа А-24894)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№08/231-1575/ПР від 14.05.2018).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Попудренка, 24 у Дніпровському районі м. Києва” (справа А-24894)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Юності, 12 у Дніпровському районі м. Києва” (справа А-24892)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доручення заступника міського голови-секретаря Київської міської ради Прокопіва В.В. №08/231-1573/ПР від 14.05.2018).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Юності, 12 у Дніпровському районі м. Києва” (справа А-24892)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Юності, 5 у Дніпровському районі м. Києва” (справа А-24914)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№08/231-1569/ПР від 14.05.2018).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Юності, 5 у Дніпровському районі м. Києва” (справа А-24914)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Червоноткацькій, 17-а у Дніпровському районі м. Києва” (справа А-24885)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№08/231-1571/ПР від 14.05.2018).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Червоноткацькій, 17-а у Дніпровському районі м. Києва” (справа А-24885)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Рогозівській, 4 у Дніпровському районі м. Києва” (справа А-24905)  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№08/231-1535/ПР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Рогозівській, 4 у Дніпровському районі м. Києва” (справа А-24905)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8-А у Дніпровському районі м. Києва” (справа А-24884) 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№08/231-1536/ПР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8-А у Дніпровському районі м. Києва” (справа А-24884)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Рогозівській, 10-а у Дніпровському районі м. Києва” (справа А-24915)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№08/231-1525/ПР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Cs w:val="28"/>
                <w:highlight w:val="white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Рогозівській, 10-а у Дніпровському районі м. Києва” (справа А-24915)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Бажова, 6-а у Дніпровському районі м. Києва” (справа А-24898)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№08/231-1526/ПР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Бажова, 6-а у Дніпровському районі м. Києва” (справа А-24898)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Всеволода Нестайка, 5-а у Дніпровському районі м. Києва” (справа А-24824)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№08/231-1527/ПР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Всеволода Нестайка, 5-а у Дніпровському районі м. Києва” (справа А-24824) 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Юрія Гагаріна, 19 у Дніпровському районі м. Києва” (справа А-24888)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№08/231-1529/ПР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Юрія Гагаріна, 19 у Дніпровському районі м. Києва” (справа А-24888) 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Міста Шалетт, 10а у Дніпровському районі м. Києва” (справа А-24844)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№08/231-1530/ПР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Міста Шалетт, 10а у Дніпровському районі м. Києва” (справа А-24844)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За – 4, проти – немає, утрималось – немає, не голосували – 1. 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Жмаченка, 14 у Дніпровському районі м. Києва” (справа А-24986)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№08/231-1531/ПР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Жмаченка, 14 у Дніпровському районі м. Києва” (справа А-24986) 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17 у Дніпровському районі м. Києва” (справа А-24842)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№08/231-1532/ПР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17 у Дніпровському районі м. Києва” (справа А-24842)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Жмаченка, 6 у Дніпровському районі м. Києва” (справа А-24987)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№08/231-1533/ПР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Cs w:val="28"/>
                <w:highlight w:val="white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Жмаченка, 6 у Дніпровському районі м. Києва” (справа А-24987) 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Валентина Сєрова, 32 у Дніпровському районі м. Києва” (справа А-24903)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№08/231-1301/ПР від 18.04.2018).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Валентина Сєрова, 32 у Дніпровському районі м. Києва” (справа А-24903) 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Карбишева, 18в у Дніпровському районі м. Києва” (справа А-24922)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№08/231-1538/ПР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Карбишева, 18в у Дніпровському районі м. Києва” (справа А-24922)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11 у Дніпровському районі м. Києва” (справа А-24902)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№08/231-1539/ПР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11 у Дніпровському районі м. Києва” (справа А-24902)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Едуарда Вільде, 5 у Дніпровському районі м. Києва” (справа А-24913) 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222222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№08/231-1541/ПР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Едуарда Вільде, 5 у Дніпровському районі м. Києва” (справа А-24913)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Краківській, 4-а у Дніпровському районі м. Києва” (справа А-24886)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№08/231-1542/ПР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Краківській, 4-а у Дніпровському районі м. Києва” (справа А-24886)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Старостенко Г.В. - голову комісії,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17-а у Дніпровському районі м. Києва” (справа А-24891) 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№08/231-1543/ПР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17-а у Дніпровському районі м. Києва” (справа А-24891)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14-а у Дніпровському районі м. Києва” (справа А-24900)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>(доручення заступника міського голови-секретаря Київської міської ради Прокопіва В.В. №08/231-1544/ПР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Cs w:val="28"/>
                <w:highlight w:val="white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14-а у Дніпровському районі м. Києва” (справа А-24900)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Червоноткацькій, 12 у Дніпровському районі м. Києва” (справа А-24917)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№08/231-1545/ПР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Червоноткацькій, 12 у Дніпровському районі м. Києва” (справа А-24917) 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color w:val="000000"/>
                <w:szCs w:val="28"/>
                <w:lang w:val="uk-UA"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Верховної Ради, 15-а у Дніпровському районі м. Києва” (справа А-24916)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№08/231-1546/ПР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Верховної Ради, 15-а у Дніпровському районі м. Києва” (справа А-24916)  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Будівельників, 37 у Дніпровському районі м. Києва” (справа А-24893)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№08/231-1547/ПР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Будівельників, 37 у Дніпровському районі м. Києва” (справа А-24893)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 xml:space="preserve"> яка поінформувала про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15-а у Дніпровському районі м. Києва” (справа А-24887)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№08/231-1548/ПР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15-а у Дніпровському районі м. Києва” (справа А-24887)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/>
                <w:bCs/>
                <w:iCs/>
                <w:color w:val="000000"/>
                <w:szCs w:val="28"/>
                <w:lang w:val="uk-UA"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szCs w:val="28"/>
                <w:lang w:val="uk-UA"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szCs w:val="28"/>
                <w:lang w:val="uk-UA"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szCs w:val="28"/>
                <w:lang w:val="uk-UA" w:eastAsia="ru-RU"/>
              </w:rPr>
              <w:t xml:space="preserve"> яка поінформувала про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Будівельників, 24-а у Дніпровському районі м. Києва” (справа А-24918)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szCs w:val="28"/>
                <w:lang w:val="uk-UA" w:eastAsia="ru-RU"/>
              </w:rPr>
              <w:t>(доручення заступника міського голови-секретаря Київської міської ради Прокопіва В.В. №08/231-1549/ПР від 10.05.2018).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szCs w:val="28"/>
                <w:lang w:val="uk-UA" w:eastAsia="ru-RU"/>
              </w:rPr>
              <w:t>Підтримати проект рішення Київської міської ради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Будівельників, 24-а у Дніпровському районі м. Києва” (справа А-24918)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szCs w:val="28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szCs w:val="28"/>
                <w:lang w:val="uk-UA"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szCs w:val="28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szCs w:val="28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szCs w:val="28"/>
                <w:lang w:val="uk-UA" w:eastAsia="ru-RU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Fonts w:eastAsia="Calibri"/>
                <w:bCs/>
                <w:iCs/>
                <w:color w:val="000000"/>
                <w:highlight w:val="white"/>
                <w:lang w:val="uk-UA"/>
              </w:rPr>
              <w:t>Старостенко Г.В. - голову комісії</w:t>
            </w:r>
            <w:r>
              <w:rPr>
                <w:rFonts w:eastAsia="Calibri"/>
                <w:bCs/>
                <w:i/>
                <w:iCs/>
                <w:color w:val="000000"/>
                <w:highlight w:val="white"/>
                <w:lang w:val="uk-UA"/>
              </w:rPr>
              <w:t>,</w:t>
            </w:r>
            <w:r>
              <w:rPr>
                <w:rFonts w:eastAsia="Calibri"/>
                <w:bCs/>
                <w:iCs/>
                <w:color w:val="000000"/>
                <w:highlight w:val="white"/>
                <w:lang w:val="uk-UA"/>
              </w:rPr>
              <w:t xml:space="preserve"> яка поінформувала про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5 у Дніпровському районі м. Києва” (справа А-24978)   </w:t>
            </w:r>
            <w:r>
              <w:rPr>
                <w:rFonts w:eastAsia="Calibri"/>
                <w:bCs/>
                <w:i/>
                <w:iCs/>
                <w:color w:val="000000"/>
                <w:highlight w:val="white"/>
                <w:lang w:val="uk-UA"/>
              </w:rPr>
              <w:t>(доручення заступника міського голови-секретаря Київської міської ради Прокопіва В.В. №08/231-1550/ПР від 10.05.2018).</w:t>
            </w:r>
          </w:p>
          <w:p>
            <w:pPr>
              <w:pStyle w:val="Normal"/>
              <w:ind w:hanging="0"/>
              <w:rPr>
                <w:rFonts w:eastAsia="Calibri"/>
                <w:bCs/>
                <w:i/>
                <w:i/>
                <w:iCs/>
                <w:color w:val="000000"/>
                <w:highlight w:val="white"/>
                <w:lang w:val="uk-UA"/>
              </w:rPr>
            </w:pPr>
            <w:r>
              <w:rPr>
                <w:rFonts w:eastAsia="Calibri"/>
                <w:bCs/>
                <w:i/>
                <w:iCs/>
                <w:color w:val="000000"/>
                <w:highlight w:val="white"/>
                <w:lang w:val="uk-U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Fonts w:eastAsia="Calibri"/>
                <w:bCs/>
                <w:iCs/>
                <w:color w:val="000000"/>
                <w:highlight w:val="white"/>
                <w:lang w:val="uk-UA"/>
              </w:rPr>
              <w:t>Підтримати проект рішення Київської міської ради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Миколи Кибальчича, 5 у Дніпровському районі м. Києва” (справа А-24978) 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rFonts w:eastAsia="Calibri"/>
                <w:bCs/>
                <w:iCs/>
                <w:color w:val="000000"/>
                <w:highlight w:val="white"/>
                <w:lang w:val="uk-UA"/>
              </w:rPr>
            </w:pPr>
            <w:r>
              <w:rPr>
                <w:rFonts w:eastAsia="Calibri"/>
                <w:bCs/>
                <w:iCs/>
                <w:color w:val="000000"/>
                <w:highlight w:val="white"/>
                <w:lang w:val="uk-U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Fonts w:eastAsia="Calibri"/>
                <w:bCs/>
                <w:iCs/>
                <w:color w:val="000000"/>
                <w:highlight w:val="white"/>
                <w:lang w:val="uk-UA"/>
              </w:rPr>
              <w:t>За – 4, проти – немає, утрималось – немає, не голосували – 1.</w:t>
            </w:r>
            <w:r>
              <w:rPr>
                <w:rFonts w:eastAsia="Calibri"/>
                <w:b/>
                <w:bCs/>
                <w:i/>
                <w:iCs/>
                <w:color w:val="000000"/>
                <w:highlight w:val="white"/>
                <w:lang w:val="uk-UA"/>
              </w:rPr>
              <w:t xml:space="preserve"> Рішення прийнято.</w:t>
            </w:r>
          </w:p>
          <w:p>
            <w:pPr>
              <w:pStyle w:val="Normal"/>
              <w:ind w:hanging="0"/>
              <w:rPr>
                <w:rStyle w:val="Style12"/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Fonts w:eastAsia="Calibri"/>
                <w:bCs/>
                <w:iCs/>
                <w:color w:val="000000"/>
                <w:highlight w:val="white"/>
                <w:lang w:val="uk-UA"/>
              </w:rPr>
              <w:t>Старостенко Г.В. - голову комісії</w:t>
            </w:r>
            <w:r>
              <w:rPr>
                <w:rFonts w:eastAsia="Calibri"/>
                <w:bCs/>
                <w:i/>
                <w:iCs/>
                <w:color w:val="000000"/>
                <w:highlight w:val="white"/>
                <w:lang w:val="uk-UA"/>
              </w:rPr>
              <w:t>,</w:t>
            </w:r>
            <w:r>
              <w:rPr>
                <w:rFonts w:eastAsia="Calibri"/>
                <w:bCs/>
                <w:iCs/>
                <w:color w:val="000000"/>
                <w:highlight w:val="white"/>
                <w:lang w:val="uk-UA"/>
              </w:rPr>
              <w:t xml:space="preserve"> яка поінформувала про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31-а у Дніпровському районі м. Києва” (справа А-24908)   </w:t>
            </w:r>
            <w:r>
              <w:rPr>
                <w:rFonts w:eastAsia="Calibri"/>
                <w:bCs/>
                <w:i/>
                <w:iCs/>
                <w:color w:val="000000"/>
                <w:highlight w:val="white"/>
                <w:lang w:val="uk-UA"/>
              </w:rPr>
              <w:t>(доручення заступника міського голови-секретаря Київської міської ради Прокопіва В.В. №08/231-1551/ПР від 10.05.2018).</w:t>
            </w:r>
          </w:p>
          <w:p>
            <w:pPr>
              <w:pStyle w:val="Normal"/>
              <w:ind w:hanging="0"/>
              <w:rPr>
                <w:rFonts w:eastAsia="Calibri"/>
                <w:bCs/>
                <w:i/>
                <w:i/>
                <w:iCs/>
                <w:color w:val="000000"/>
                <w:highlight w:val="white"/>
                <w:lang w:val="uk-UA"/>
              </w:rPr>
            </w:pPr>
            <w:r>
              <w:rPr>
                <w:rFonts w:eastAsia="Calibri"/>
                <w:bCs/>
                <w:i/>
                <w:iCs/>
                <w:color w:val="000000"/>
                <w:highlight w:val="white"/>
                <w:lang w:val="uk-U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Fonts w:eastAsia="Calibri"/>
                <w:bCs/>
                <w:iCs/>
                <w:color w:val="000000"/>
                <w:highlight w:val="white"/>
                <w:lang w:val="uk-UA"/>
              </w:rPr>
              <w:t>Підтримати проект рішення Київської міської ради “Про 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Празькій, 31-а у Дніпровському районі м. Києва” (справа А-24908)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rFonts w:eastAsia="Calibri"/>
                <w:bCs/>
                <w:iCs/>
                <w:color w:val="000000"/>
                <w:highlight w:val="white"/>
                <w:lang w:val="uk-UA"/>
              </w:rPr>
            </w:pPr>
            <w:r>
              <w:rPr>
                <w:rFonts w:eastAsia="Calibri"/>
                <w:bCs/>
                <w:iCs/>
                <w:color w:val="000000"/>
                <w:highlight w:val="white"/>
                <w:lang w:val="uk-U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Fonts w:eastAsia="Calibri"/>
                <w:bCs/>
                <w:iCs/>
                <w:color w:val="000000"/>
                <w:highlight w:val="white"/>
                <w:lang w:val="uk-UA"/>
              </w:rPr>
              <w:t>За – 4, проти – немає, утрималось – немає, не голосували – 1.</w:t>
            </w:r>
            <w:r>
              <w:rPr>
                <w:rFonts w:eastAsia="Calibri"/>
                <w:b/>
                <w:bCs/>
                <w:i/>
                <w:iCs/>
                <w:color w:val="000000"/>
                <w:highlight w:val="white"/>
                <w:lang w:val="uk-UA"/>
              </w:rPr>
              <w:t xml:space="preserve"> Рішення прийнято.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 xml:space="preserve">Фіданян О.Г. - директора Департаменту освіти і науки, молоді та спорту щодо проблемних 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>земельних ділянок, які оформляються під закладами освіти.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>Старостенко Г.В., Гончаров О.В., Шульга Н.І., Фіданян О.Г., Паладій С.В., Дворніков В.М.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ind w:left="0" w:right="0" w:firstLine="283"/>
              <w:jc w:val="both"/>
              <w:rPr>
                <w:color w:val="000000"/>
              </w:rPr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 xml:space="preserve">1) Управлінням освіти районних в місті Києві державних адміністрацій надати інформаційну довідку по проблемним 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 xml:space="preserve">земельних ділянках, які оформляються під закладами освіти згідно інформації поданої Департаментом (інформація додається).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ind w:left="0" w:right="0" w:firstLine="283"/>
              <w:jc w:val="both"/>
              <w:rPr>
                <w:color w:val="000000"/>
              </w:rPr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>2)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 xml:space="preserve"> На наступному засіданні комісії розглянути питання про проблемні земельні ділянки, які оформлюються  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>під закладами освіти за участю начальників (заступників) управлінь освіти районних в місті Києві державних адміністрацій.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ru-RU"/>
              </w:rPr>
              <w:t>За – 5, проти – немає, утрималось – немає не голосували-немає.</w:t>
            </w:r>
            <w:r>
              <w:rPr>
                <w:rStyle w:val="Style12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 xml:space="preserve">Старостенко Г.В. - голову комісії, яка поінформувала про звіт робочої групи по доопрацюванню 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>проекту рішення Київської міської ради “Про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Касіяна, Якубовського, Вільямса, Трутенко, Васильківська Голосіївського району м. Києва”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>Сторощук С.В., Васильчук В.В., Паладій С.В., Дворніков В.М., Странніков А.В., Шульга Н.І.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ind w:left="0" w:right="0" w:firstLine="283"/>
              <w:jc w:val="left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>1) Звіт робочої групи взяти до відома.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ind w:left="0" w:right="0" w:firstLine="283"/>
              <w:jc w:val="both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 xml:space="preserve">2) Підтримати проект рішення 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>Київської міської ради “Про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Касіяна, Якубовського, Вільямса, Трутенко, Васильківська Голосіївського району м. Києва” з правками, а саме:</w:t>
            </w:r>
          </w:p>
          <w:tbl>
            <w:tblPr>
              <w:tblW w:w="7847" w:type="dxa"/>
              <w:jc w:val="left"/>
              <w:tblInd w:w="0" w:type="dxa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45" w:type="dxa"/>
                <w:bottom w:w="55" w:type="dxa"/>
                <w:right w:w="55" w:type="dxa"/>
              </w:tblCellMar>
            </w:tblPr>
            <w:tblGrid>
              <w:gridCol w:w="3923"/>
              <w:gridCol w:w="3923"/>
            </w:tblGrid>
            <w:tr>
              <w:trPr/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Style24"/>
                    <w:widowControl/>
                    <w:suppressLineNumbers/>
                    <w:suppressAutoHyphens w:val="true"/>
                    <w:bidi w:val="0"/>
                    <w:spacing w:before="0" w:after="200"/>
                    <w:ind w:left="0" w:right="0" w:hanging="0"/>
                    <w:jc w:val="both"/>
                    <w:rPr/>
                  </w:pPr>
                  <w:r>
                    <w:rPr>
                      <w:sz w:val="28"/>
                      <w:szCs w:val="28"/>
                      <w:lang w:val="uk-UA"/>
                    </w:rPr>
                    <w:t>Існуюча редакція проекту рішення</w:t>
                  </w:r>
                </w:p>
              </w:tc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Style24"/>
                    <w:widowControl/>
                    <w:suppressLineNumbers/>
                    <w:suppressAutoHyphens w:val="true"/>
                    <w:bidi w:val="0"/>
                    <w:spacing w:before="0" w:after="200"/>
                    <w:ind w:left="0" w:right="0" w:hanging="0"/>
                    <w:jc w:val="both"/>
                    <w:rPr/>
                  </w:pPr>
                  <w:r>
                    <w:rPr>
                      <w:sz w:val="28"/>
                      <w:szCs w:val="28"/>
                      <w:lang w:val="uk-UA"/>
                    </w:rPr>
                    <w:t>Проект рішення із правками</w:t>
                  </w:r>
                </w:p>
              </w:tc>
            </w:tr>
            <w:tr>
              <w:trPr/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NormalWeb"/>
                    <w:widowControl/>
                    <w:suppressLineNumbers/>
                    <w:suppressAutoHyphens w:val="true"/>
                    <w:bidi w:val="0"/>
                    <w:spacing w:beforeAutospacing="0" w:before="0" w:afterAutospacing="0" w:after="200"/>
                    <w:ind w:left="0" w:right="0" w:hanging="0"/>
                    <w:jc w:val="both"/>
                    <w:textAlignment w:val="top"/>
                    <w:rPr/>
                  </w:pPr>
                  <w:r>
                    <w:rPr>
                      <w:rFonts w:cs="Arial"/>
                      <w:b/>
                      <w:sz w:val="24"/>
                      <w:szCs w:val="24"/>
                      <w:lang w:val="uk-UA"/>
                    </w:rPr>
                    <w:t>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Касіяна, Якубовського, Вільямса, Трутенко, Васильківська Голосіївського району м. Києва.</w:t>
                  </w:r>
                </w:p>
              </w:tc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Normal"/>
                    <w:widowControl/>
                    <w:suppressLineNumbers/>
                    <w:tabs>
                      <w:tab w:val="left" w:pos="1275" w:leader="none"/>
                    </w:tabs>
                    <w:suppressAutoHyphens w:val="true"/>
                    <w:bidi w:val="0"/>
                    <w:spacing w:lineRule="auto" w:line="240" w:before="0" w:after="200"/>
                    <w:ind w:left="170" w:right="0" w:hanging="0"/>
                    <w:jc w:val="both"/>
                    <w:rPr/>
                  </w:pPr>
                  <w:r>
                    <w:rPr>
                      <w:rFonts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  <w:t xml:space="preserve">Про заходи, спрямовані на врегулювання питань, пов'язаних із закладами освіти Голосіївського району міста Києва </w:t>
                  </w:r>
                </w:p>
              </w:tc>
            </w:tr>
            <w:tr>
              <w:trPr/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NormalWeb"/>
                    <w:spacing w:beforeAutospacing="0" w:before="0" w:afterAutospacing="0" w:after="200"/>
                    <w:textAlignment w:val="top"/>
                    <w:rPr/>
                  </w:pPr>
                  <w:r>
                    <w:rPr>
                      <w:rFonts w:cs="Arial"/>
                      <w:b/>
                      <w:bCs/>
                      <w:sz w:val="24"/>
                      <w:szCs w:val="24"/>
                      <w:u w:val="single"/>
                      <w:lang w:val="uk-UA"/>
                    </w:rPr>
                    <w:t>Відповідно</w:t>
                  </w:r>
                  <w:r>
                    <w:rPr>
                      <w:rFonts w:cs="Arial"/>
                      <w:bCs/>
                      <w:sz w:val="24"/>
                      <w:szCs w:val="24"/>
                      <w:lang w:val="uk-UA"/>
                    </w:rPr>
                    <w:t xml:space="preserve"> до статті 53  Конституції України, Рішення КОНСТИТУЦІЙНОГО СУДУ УКРАЇНИ № 5-рп/2004 від 04.03.2004, статті 35, 36 Закону України "Про освіту"</w:t>
                  </w:r>
                </w:p>
                <w:p>
                  <w:pPr>
                    <w:pStyle w:val="NormalWeb"/>
                    <w:spacing w:beforeAutospacing="0" w:before="0" w:afterAutospacing="0" w:after="200"/>
                    <w:textAlignment w:val="top"/>
                    <w:rPr/>
                  </w:pPr>
                  <w:r>
                    <w:rPr>
                      <w:rFonts w:cs="Arial"/>
                      <w:bCs/>
                      <w:sz w:val="24"/>
                      <w:szCs w:val="24"/>
                      <w:lang w:val="uk-UA"/>
                    </w:rPr>
                    <w:br/>
                  </w:r>
                  <w:r>
                    <w:rPr>
                      <w:rFonts w:cs="Arial"/>
                      <w:b/>
                      <w:bCs/>
                      <w:sz w:val="24"/>
                      <w:szCs w:val="24"/>
                      <w:u w:val="single"/>
                      <w:lang w:val="uk-UA"/>
                    </w:rPr>
                    <w:t>про</w:t>
                  </w:r>
                  <w:r>
                    <w:rPr>
                      <w:rFonts w:cs="Arial"/>
                      <w:bCs/>
                      <w:sz w:val="24"/>
                      <w:szCs w:val="24"/>
                      <w:lang w:val="uk-UA"/>
                    </w:rPr>
                    <w:t xml:space="preserve"> дошкільну освіту та повну загальну  середню освіту; </w:t>
                  </w:r>
                </w:p>
                <w:p>
                  <w:pPr>
                    <w:pStyle w:val="NormalWeb"/>
                    <w:spacing w:beforeAutospacing="0" w:before="0" w:afterAutospacing="0" w:after="200"/>
                    <w:textAlignment w:val="top"/>
                    <w:rPr/>
                  </w:pPr>
                  <w:r>
                    <w:rPr>
                      <w:rFonts w:cs="Arial"/>
                      <w:b/>
                      <w:bCs/>
                      <w:sz w:val="24"/>
                      <w:szCs w:val="24"/>
                      <w:u w:val="single"/>
                      <w:lang w:val="uk-UA"/>
                    </w:rPr>
                    <w:t>з метою</w:t>
                  </w:r>
                  <w:r>
                    <w:rPr>
                      <w:rFonts w:cs="Arial"/>
                      <w:bCs/>
                      <w:sz w:val="24"/>
                      <w:szCs w:val="24"/>
                      <w:lang w:val="uk-UA"/>
                    </w:rPr>
                    <w:t xml:space="preserve"> забезпечення державою доступності   і   безоплатності   дошкільної,   повної </w:t>
                    <w:br/>
                    <w:t>загальної середньої,    професійно-технічної,   вищої   освіти   в державних і комунальних навчальних закладах</w:t>
                  </w:r>
                  <w:bookmarkStart w:id="11" w:name="o73"/>
                  <w:bookmarkEnd w:id="11"/>
                  <w:r>
                    <w:rPr>
                      <w:rFonts w:cs="Arial"/>
                      <w:bCs/>
                      <w:sz w:val="24"/>
                      <w:szCs w:val="24"/>
                      <w:lang w:val="uk-UA"/>
                    </w:rPr>
                    <w:t>;</w:t>
                  </w:r>
                </w:p>
                <w:p>
                  <w:pPr>
                    <w:pStyle w:val="NormalWeb"/>
                    <w:spacing w:beforeAutospacing="0" w:before="0" w:afterAutospacing="0" w:after="200"/>
                    <w:textAlignment w:val="top"/>
                    <w:rPr/>
                  </w:pPr>
                  <w:r>
                    <w:rPr>
                      <w:rFonts w:cs="Arial"/>
                      <w:b/>
                      <w:bCs/>
                      <w:sz w:val="24"/>
                      <w:szCs w:val="24"/>
                      <w:u w:val="single"/>
                      <w:lang w:val="uk-UA"/>
                    </w:rPr>
                    <w:t>з метою</w:t>
                  </w:r>
                  <w:r>
                    <w:rPr>
                      <w:rFonts w:cs="Arial"/>
                      <w:bCs/>
                      <w:sz w:val="24"/>
                      <w:szCs w:val="24"/>
                      <w:lang w:val="uk-UA"/>
                    </w:rPr>
                    <w:t xml:space="preserve"> забезпечення державою доступності освіти  як  конституційної  гарантії  реалізації  права  на  освіту  на  принципах</w:t>
                  </w:r>
                </w:p>
                <w:p>
                  <w:pPr>
                    <w:pStyle w:val="NormalWeb"/>
                    <w:spacing w:beforeAutospacing="0" w:before="0" w:afterAutospacing="0" w:after="200"/>
                    <w:textAlignment w:val="top"/>
                    <w:rPr/>
                  </w:pPr>
                  <w:r>
                    <w:rPr>
                      <w:rFonts w:cs="Arial"/>
                      <w:bCs/>
                      <w:sz w:val="24"/>
                      <w:szCs w:val="24"/>
                      <w:lang w:val="uk-UA"/>
                    </w:rPr>
                    <w:t xml:space="preserve">  </w:t>
                  </w:r>
                  <w:r>
                    <w:rPr>
                      <w:rFonts w:cs="Arial"/>
                      <w:bCs/>
                      <w:sz w:val="24"/>
                      <w:szCs w:val="24"/>
                      <w:lang w:val="uk-UA"/>
                    </w:rPr>
                    <w:t xml:space="preserve">рівності,  що означає,  що нікому  не  може бути  відмовлено  у  праві  на  освіту,  і  держава  має  створити можливості для реалізації цього права; </w:t>
                  </w:r>
                </w:p>
                <w:p>
                  <w:pPr>
                    <w:pStyle w:val="NormalWeb"/>
                    <w:spacing w:beforeAutospacing="0" w:before="0" w:afterAutospacing="0" w:after="200"/>
                    <w:textAlignment w:val="top"/>
                    <w:rPr/>
                  </w:pPr>
                  <w:bookmarkStart w:id="12" w:name="o74"/>
                  <w:bookmarkEnd w:id="12"/>
                  <w:r>
                    <w:rPr>
                      <w:rFonts w:cs="Arial"/>
                      <w:b/>
                      <w:bCs/>
                      <w:sz w:val="24"/>
                      <w:szCs w:val="24"/>
                      <w:u w:val="single"/>
                      <w:lang w:val="uk-UA"/>
                    </w:rPr>
                    <w:t>з метою</w:t>
                  </w:r>
                  <w:r>
                    <w:rPr>
                      <w:rFonts w:cs="Arial"/>
                      <w:bCs/>
                      <w:sz w:val="24"/>
                      <w:szCs w:val="24"/>
                      <w:lang w:val="uk-UA"/>
                    </w:rPr>
                    <w:t xml:space="preserve"> забезпечення державою безоплатності освіти як конституційної  гарантії  реалізації </w:t>
                    <w:br/>
                    <w:t xml:space="preserve">права  на  освіту, що означає можливість здобуття освіти в державних і комунальних навчальних закладах без  внесення  плати  у  будь-якій формі за освітні послуги визначених законодавством рівня,  змісту, обсягу і в межах тих видів освіти,  безоплатність яких передбачена частиною третьою статті 53 Конституції України ( </w:t>
                  </w:r>
                  <w:hyperlink r:id="rId3">
                    <w:r>
                      <w:rPr>
                        <w:rStyle w:val="Style12"/>
                        <w:rFonts w:cs="Arial"/>
                        <w:bCs/>
                        <w:sz w:val="24"/>
                        <w:szCs w:val="24"/>
                        <w:lang w:val="uk-UA"/>
                      </w:rPr>
                      <w:t>254к/96-ВР</w:t>
                    </w:r>
                  </w:hyperlink>
                  <w:r>
                    <w:rPr>
                      <w:rFonts w:cs="Arial"/>
                      <w:bCs/>
                      <w:sz w:val="24"/>
                      <w:szCs w:val="24"/>
                      <w:lang w:val="uk-UA"/>
                    </w:rPr>
                    <w:t xml:space="preserve"> ). </w:t>
                  </w:r>
                </w:p>
                <w:p>
                  <w:pPr>
                    <w:pStyle w:val="NormalWeb"/>
                    <w:spacing w:beforeAutospacing="0" w:before="0" w:afterAutospacing="0" w:after="200"/>
                    <w:textAlignment w:val="top"/>
                    <w:rPr/>
                  </w:pPr>
                  <w:r>
                    <w:rPr>
                      <w:rFonts w:cs="Arial"/>
                      <w:bCs/>
                      <w:sz w:val="24"/>
                      <w:szCs w:val="24"/>
                      <w:lang w:val="uk-UA"/>
                    </w:rPr>
                    <w:br/>
                  </w:r>
                  <w:bookmarkStart w:id="13" w:name="o75"/>
                  <w:bookmarkEnd w:id="13"/>
                  <w:r>
                    <w:rPr>
                      <w:rFonts w:cs="Arial"/>
                      <w:b/>
                      <w:bCs/>
                      <w:sz w:val="24"/>
                      <w:szCs w:val="24"/>
                      <w:u w:val="single"/>
                      <w:lang w:val="uk-UA"/>
                    </w:rPr>
                    <w:t>Виходячи з   положень</w:t>
                  </w:r>
                  <w:r>
                    <w:rPr>
                      <w:rFonts w:cs="Arial"/>
                      <w:bCs/>
                      <w:sz w:val="24"/>
                      <w:szCs w:val="24"/>
                      <w:lang w:val="uk-UA"/>
                    </w:rPr>
                    <w:t xml:space="preserve">   частин   другої,  третьої  статті  53 Конституції України  (  </w:t>
                  </w:r>
                  <w:hyperlink r:id="rId4">
                    <w:r>
                      <w:rPr>
                        <w:rStyle w:val="Style12"/>
                        <w:rFonts w:cs="Arial"/>
                        <w:bCs/>
                        <w:sz w:val="24"/>
                        <w:szCs w:val="24"/>
                        <w:lang w:val="uk-UA"/>
                      </w:rPr>
                      <w:t>254к/96-ВР</w:t>
                    </w:r>
                  </w:hyperlink>
                  <w:r>
                    <w:rPr>
                      <w:rFonts w:cs="Arial"/>
                      <w:bCs/>
                      <w:sz w:val="24"/>
                      <w:szCs w:val="24"/>
                      <w:lang w:val="uk-UA"/>
                    </w:rPr>
                    <w:t xml:space="preserve"> ),  за  якими  повна  загальна середня   освіта   є   обов'язковою   і  безоплатною,  витрати  на </w:t>
                    <w:br/>
                    <w:t xml:space="preserve">забезпечення навчально-виховного процесу в державних і комунальних загальноосвітніх  навчальних  закладах здійснюються на нормативній основі за рахунок коштів відповідних бюджетів у повному обсязі. </w:t>
                  </w:r>
                </w:p>
              </w:tc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Normal"/>
                    <w:widowControl/>
                    <w:bidi w:val="0"/>
                    <w:spacing w:lineRule="auto" w:line="240" w:before="0" w:after="0"/>
                    <w:ind w:firstLine="567"/>
                    <w:jc w:val="both"/>
                    <w:rPr/>
                  </w:pPr>
                  <w:r>
                    <w:rPr>
                      <w:sz w:val="24"/>
                      <w:szCs w:val="24"/>
                      <w:lang w:val="uk-UA"/>
                    </w:rPr>
                    <w:t>Відповідно до  законів України “Про освіту”, “Про місцеве самоврядування в Україні”, рішення Київської міської ради від 15.12.2011 № 844/7080 «Про впорядкування прийняття до комунальної власності територіальної громади м.Києва житлового фонду, гуртожитків, інженерних мереж та об`єктів соціальної інфраструктури» та враховуючи винесену на розгляд Київської міської ради місцеву ініціативу “</w:t>
                  </w:r>
                  <w:r>
                    <w:rPr>
                      <w:rFonts w:eastAsia="Calibri"/>
                      <w:color w:val="000000"/>
                      <w:sz w:val="24"/>
                      <w:szCs w:val="24"/>
                      <w:highlight w:val="white"/>
                      <w:lang w:val="uk-UA"/>
                    </w:rPr>
                    <w:t xml:space="preserve">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Касіяна, Якубовського, Вільямса, Трутенко, Васильківська Голосіївського району м. Києва” Київська міська рада </w:t>
                  </w:r>
                </w:p>
              </w:tc>
            </w:tr>
            <w:tr>
              <w:trPr/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NormalWeb"/>
                    <w:widowControl/>
                    <w:bidi w:val="0"/>
                    <w:spacing w:lineRule="auto" w:line="240" w:beforeAutospacing="0" w:before="0" w:afterAutospacing="0" w:after="0"/>
                    <w:ind w:left="0" w:right="0" w:hanging="0"/>
                    <w:jc w:val="both"/>
                    <w:textAlignment w:val="top"/>
                    <w:rPr/>
                  </w:pPr>
                  <w:r>
                    <w:rPr>
                      <w:rFonts w:cs="Arial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 xml:space="preserve">    </w:t>
                  </w:r>
                  <w:r>
                    <w:rPr>
                      <w:rFonts w:cs="Arial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1. Прийняти (викупити) до комунальної власності територіальної громади міста Києва вже збудовані навчальні заклади: </w:t>
                  </w:r>
                  <w:r>
                    <w:rPr>
                      <w:rFonts w:cs="Arial"/>
                      <w:color w:val="000000" w:themeColor="text1"/>
                      <w:sz w:val="24"/>
                      <w:szCs w:val="24"/>
                      <w:lang w:val="uk-UA"/>
                    </w:rPr>
                    <w:br/>
                  </w:r>
                  <w:r>
                    <w:rPr>
                      <w:rFonts w:cs="Arial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садочок номер 32 за будівельною схемою ЖК “Евріка” на вул. Глушкова, 6;</w:t>
                  </w:r>
                  <w:r>
                    <w:rPr>
                      <w:rFonts w:cs="Arial"/>
                      <w:color w:val="000000" w:themeColor="text1"/>
                      <w:sz w:val="24"/>
                      <w:szCs w:val="24"/>
                      <w:lang w:val="uk-UA"/>
                    </w:rPr>
                    <w:br/>
                  </w:r>
                  <w:r>
                    <w:rPr>
                      <w:rFonts w:cs="Arial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садочок КНУ імені Шевченко  номер 38 за адресою: вул. Глушкова,2А із збереженням певної квоти для працівників КНУ ;</w:t>
                  </w:r>
                  <w:r>
                    <w:rPr>
                      <w:rFonts w:cs="Arial"/>
                      <w:color w:val="000000" w:themeColor="text1"/>
                      <w:sz w:val="24"/>
                      <w:szCs w:val="24"/>
                      <w:lang w:val="uk-UA"/>
                    </w:rPr>
                    <w:br/>
                  </w:r>
                  <w:r>
                    <w:rPr>
                      <w:rFonts w:cs="Arial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комерційної школи початкових класів “Ліко Школа” на вул. Конєва, 7 Б ;</w:t>
                  </w:r>
                  <w:r>
                    <w:rPr>
                      <w:rFonts w:cs="Arial"/>
                      <w:color w:val="000000" w:themeColor="text1"/>
                      <w:sz w:val="24"/>
                      <w:szCs w:val="24"/>
                      <w:lang w:val="uk-UA"/>
                    </w:rPr>
                    <w:br/>
                  </w:r>
                  <w:r>
                    <w:rPr>
                      <w:rFonts w:cs="Arial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комерційного садочку “Ліко-Світ” на вул. Вільямса,11 корпус 2 ;</w:t>
                  </w:r>
                  <w:r>
                    <w:rPr>
                      <w:rFonts w:cs="Arial"/>
                      <w:color w:val="000000" w:themeColor="text1"/>
                      <w:sz w:val="24"/>
                      <w:szCs w:val="24"/>
                      <w:lang w:val="uk-UA"/>
                    </w:rPr>
                    <w:br/>
                  </w:r>
                  <w:r>
                    <w:rPr>
                      <w:rFonts w:cs="Arial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комерційного садочку “Ліко Світ Венеція” на вул. Конєва,12 А.</w:t>
                  </w:r>
                </w:p>
              </w:tc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ListParagraph"/>
                    <w:bidi w:val="0"/>
                    <w:spacing w:lineRule="auto" w:line="240" w:before="0" w:after="0"/>
                    <w:ind w:left="0" w:firstLine="567"/>
                    <w:contextualSpacing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1. Доручити виконавчому органу Київської міської ради (Київської міської державної адміністрації)  розглянути можливість, та, у разі необхідності, вжити організаційно-правові заходи щодо прийняття до комунальної власності територіальної громади міста Києва об'єкти соціальної інфраструктури:</w:t>
                  </w:r>
                </w:p>
                <w:p>
                  <w:pPr>
                    <w:pStyle w:val="ListParagraph"/>
                    <w:widowControl/>
                    <w:bidi w:val="0"/>
                    <w:spacing w:lineRule="auto" w:line="240" w:before="0" w:after="0"/>
                    <w:ind w:left="57" w:right="0" w:hanging="0"/>
                    <w:contextualSpacing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 xml:space="preserve">       </w:t>
                  </w: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- заклад дошкільної освіти на вул. Глушкова, 6 (будівельний №32) - забудовник ТОВ “Аркада”;</w:t>
                  </w:r>
                </w:p>
                <w:p>
                  <w:pPr>
                    <w:pStyle w:val="ListParagraph"/>
                    <w:widowControl/>
                    <w:bidi w:val="0"/>
                    <w:spacing w:lineRule="auto" w:line="240" w:before="0" w:after="0"/>
                    <w:ind w:left="57" w:right="0" w:hanging="0"/>
                    <w:contextualSpacing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 xml:space="preserve">   </w:t>
                  </w: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- заклад дошкільної освіти №38 на вул. Глушкова, 2-А (власник Київський Національний Університет імені Т.Шевченка);</w:t>
                  </w:r>
                </w:p>
                <w:p>
                  <w:pPr>
                    <w:pStyle w:val="ListParagraph"/>
                    <w:widowControl/>
                    <w:bidi w:val="0"/>
                    <w:spacing w:lineRule="auto" w:line="240" w:before="0" w:after="0"/>
                    <w:ind w:left="57" w:right="0" w:hanging="0"/>
                    <w:contextualSpacing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- заклад освіти (початкова школа) “Ліко Школа” на вул. Конєва, 7Б (власник ТОВ “Ліко-Холдінг”;</w:t>
                  </w:r>
                </w:p>
                <w:p>
                  <w:pPr>
                    <w:pStyle w:val="ListParagraph"/>
                    <w:widowControl/>
                    <w:bidi w:val="0"/>
                    <w:spacing w:lineRule="auto" w:line="240" w:before="0" w:after="0"/>
                    <w:ind w:left="57" w:right="0" w:hanging="0"/>
                    <w:contextualSpacing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 xml:space="preserve">    </w:t>
                  </w: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- заклад дошкільної освіти “Ліко-Світ” на вул. Вільямса, 11, корпус 2 (власник ТОВ “Ліко-Холдінг”);</w:t>
                  </w:r>
                </w:p>
                <w:p>
                  <w:pPr>
                    <w:pStyle w:val="ListParagraph"/>
                    <w:widowControl/>
                    <w:bidi w:val="0"/>
                    <w:spacing w:lineRule="auto" w:line="240" w:before="0" w:after="0"/>
                    <w:ind w:left="57" w:right="0" w:hanging="0"/>
                    <w:contextualSpacing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 xml:space="preserve">     </w:t>
                  </w: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- заклад дошкільної освіти “Ліко-Світ Венеція” на вул. Конєва, 12А (власник ТОВ “Ліко-Холдінг”).</w:t>
                  </w:r>
                </w:p>
              </w:tc>
            </w:tr>
            <w:tr>
              <w:trPr/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NormalWeb"/>
                    <w:spacing w:beforeAutospacing="0" w:before="0" w:afterAutospacing="0" w:after="0"/>
                    <w:jc w:val="both"/>
                    <w:textAlignment w:val="top"/>
                    <w:rPr/>
                  </w:pPr>
                  <w:r>
                    <w:rPr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 xml:space="preserve">     </w:t>
                  </w:r>
                  <w:r>
                    <w:rPr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2. Після закінчення будівництва школи, яка будується на ділянці обмеженої вулицями Вільямса, Ломоносова, Мейтуса, Конєва з кадастровим номером 8000000000:79:364:0067 прийняти (викупити) цю школу до комунальної власності територіальної громади міста Києва.</w:t>
                  </w:r>
                </w:p>
              </w:tc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ListParagraph"/>
                    <w:bidi w:val="0"/>
                    <w:spacing w:lineRule="auto" w:line="240" w:before="0" w:after="0"/>
                    <w:ind w:left="0" w:firstLine="567"/>
                    <w:contextualSpacing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2. Доручити виконавчому органу Київської міської ради (Київської міської державної адміністрації) вжити організаційно-правові заходи щодо оформлення права постійного користування земельними ділянками для будівництва закладів освіти комунальної форми власності та закріплення їх за управлінням освіти Голосіївської районної в місті Києві державної адміністрації:</w:t>
                  </w:r>
                </w:p>
                <w:p>
                  <w:pPr>
                    <w:pStyle w:val="ListParagraph"/>
                    <w:bidi w:val="0"/>
                    <w:spacing w:lineRule="auto" w:line="240" w:before="0" w:after="0"/>
                    <w:ind w:left="0" w:firstLine="567"/>
                    <w:contextualSpacing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 xml:space="preserve">- заклад загальної середньої освіти на вул. Симоненка, 3 (на земельній ділянці з кадастровим номером </w:t>
                  </w:r>
                  <w:r>
                    <w:rPr>
                      <w:rFonts w:cs="Times New Roman"/>
                      <w:bCs/>
                      <w:sz w:val="24"/>
                      <w:szCs w:val="24"/>
                      <w:lang w:val="uk-UA"/>
                    </w:rPr>
                    <w:t>8000000000:79:364:0020</w:t>
                  </w: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);</w:t>
                  </w:r>
                </w:p>
                <w:p>
                  <w:pPr>
                    <w:pStyle w:val="ListParagraph"/>
                    <w:bidi w:val="0"/>
                    <w:spacing w:lineRule="auto" w:line="240" w:before="0" w:after="0"/>
                    <w:ind w:left="0" w:firstLine="567"/>
                    <w:contextualSpacing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 xml:space="preserve">- заклади загальної середньої освіти на просп. Академіка Глушкова, 6  (будівельний №35 та №36 на земельній ділянці з кадастровим номером  </w:t>
                  </w:r>
                  <w:r>
                    <w:rPr>
                      <w:rFonts w:cs="Times New Roman"/>
                      <w:bCs/>
                      <w:sz w:val="24"/>
                      <w:szCs w:val="24"/>
                      <w:lang w:val="uk-UA"/>
                    </w:rPr>
                    <w:t>8000000000:79:425:0003</w:t>
                  </w: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);</w:t>
                  </w:r>
                </w:p>
                <w:p>
                  <w:pPr>
                    <w:pStyle w:val="ListParagraph"/>
                    <w:bidi w:val="0"/>
                    <w:spacing w:lineRule="auto" w:line="240" w:before="0" w:after="0"/>
                    <w:ind w:left="0" w:firstLine="567"/>
                    <w:contextualSpacing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 xml:space="preserve">- заклади дошкільної освіти на просп. Академіка Глушкова, 6  (будівельний №33 та №34 на земельній ділянці з кадастровим номером  </w:t>
                  </w:r>
                  <w:r>
                    <w:rPr>
                      <w:rFonts w:cs="Times New Roman"/>
                      <w:bCs/>
                      <w:sz w:val="24"/>
                      <w:szCs w:val="24"/>
                      <w:lang w:val="uk-UA"/>
                    </w:rPr>
                    <w:t>8000000000:79:425:0003</w:t>
                  </w: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).</w:t>
                  </w:r>
                </w:p>
              </w:tc>
            </w:tr>
            <w:tr>
              <w:trPr/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NormalWeb"/>
                    <w:spacing w:beforeAutospacing="0" w:before="0" w:afterAutospacing="0" w:after="300"/>
                    <w:jc w:val="both"/>
                    <w:textAlignment w:val="top"/>
                    <w:rPr/>
                  </w:pPr>
                  <w:r>
                    <w:rPr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 xml:space="preserve">   </w:t>
                  </w:r>
                  <w:r>
                    <w:rPr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3. Включити до Програми економічного та соціального розвитку Києва на 2018-2019 роки будівництво садочку на вул. Вільямса,7(10), двох садочків за адресою вул. Глушкова,6, загальноосвітньої середньої школи на вул. Симоненко, 3 та двох загальноосвітніх середніх шкіл на вул. Ковалевської та прийняти ці об’єкти до комунальної власності територіальної громади міста Києва.</w:t>
                  </w:r>
                </w:p>
              </w:tc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ListParagraph"/>
                    <w:bidi w:val="0"/>
                    <w:spacing w:lineRule="auto" w:line="240" w:before="0" w:after="200"/>
                    <w:ind w:left="0" w:firstLine="567"/>
                    <w:contextualSpacing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3. Виконавчому органу Київської міської ради (Київській міській державній адміністрації) вирішити в установленому порядку питання фінансування заходів, передбачених пунктами 1 та 2 цього рішення.</w:t>
                  </w:r>
                </w:p>
              </w:tc>
            </w:tr>
            <w:tr>
              <w:trPr/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Normal"/>
                    <w:widowControl/>
                    <w:bidi w:val="0"/>
                    <w:spacing w:lineRule="auto" w:line="240" w:beforeAutospacing="0" w:before="0" w:afterAutospacing="0" w:after="0"/>
                    <w:ind w:left="57" w:right="0" w:hanging="0"/>
                    <w:jc w:val="both"/>
                    <w:textAlignment w:val="top"/>
                    <w:rPr/>
                  </w:pPr>
                  <w:r>
                    <w:rPr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 xml:space="preserve">   </w:t>
                  </w:r>
                  <w:r>
                    <w:rPr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4. Включити кошти на фінансування прийому (викупу) 7 садочків та 5 шкіл у комунальну власність територіальної громади міста Києва до бюджету міста Києва на 2018-2019 роки, а саме:</w:t>
                  </w:r>
                </w:p>
                <w:p>
                  <w:pPr>
                    <w:pStyle w:val="NormalWeb"/>
                    <w:widowControl/>
                    <w:bidi w:val="0"/>
                    <w:spacing w:lineRule="auto" w:line="240" w:beforeAutospacing="0" w:before="0" w:afterAutospacing="0" w:after="0"/>
                    <w:ind w:left="57" w:right="0" w:hanging="0"/>
                    <w:jc w:val="both"/>
                    <w:textAlignment w:val="top"/>
                    <w:rPr/>
                  </w:pPr>
                  <w:r>
                    <w:rPr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садочок номер 32 за будівельною схемою ЖК “Евріка” на вул. Глушкова,6</w:t>
                  </w:r>
                </w:p>
                <w:p>
                  <w:pPr>
                    <w:pStyle w:val="NormalWeb"/>
                    <w:bidi w:val="0"/>
                    <w:spacing w:lineRule="auto" w:line="240" w:beforeAutospacing="0" w:before="0" w:afterAutospacing="0" w:after="0"/>
                    <w:jc w:val="both"/>
                    <w:textAlignment w:val="top"/>
                    <w:rPr/>
                  </w:pPr>
                  <w:r>
                    <w:rPr>
                      <w:rStyle w:val="Strong"/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садочок КНУ імені Шевченко номер 38 за адресою: вул. Глушкова,2А із збереженням певноі квоти для працівників КНУ</w:t>
                  </w:r>
                </w:p>
                <w:p>
                  <w:pPr>
                    <w:pStyle w:val="NormalWeb"/>
                    <w:bidi w:val="0"/>
                    <w:spacing w:lineRule="auto" w:line="240" w:beforeAutospacing="0" w:before="0" w:afterAutospacing="0" w:after="0"/>
                    <w:jc w:val="both"/>
                    <w:textAlignment w:val="top"/>
                    <w:rPr/>
                  </w:pPr>
                  <w:r>
                    <w:rPr>
                      <w:rStyle w:val="Strong"/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комерційного садочку “Ліко-Світ” на вул. Вільямса,11 корпус 2</w:t>
                  </w:r>
                </w:p>
                <w:p>
                  <w:pPr>
                    <w:pStyle w:val="NormalWeb"/>
                    <w:bidi w:val="0"/>
                    <w:spacing w:lineRule="auto" w:line="240" w:beforeAutospacing="0" w:before="0" w:afterAutospacing="0" w:after="0"/>
                    <w:jc w:val="both"/>
                    <w:textAlignment w:val="top"/>
                    <w:rPr/>
                  </w:pPr>
                  <w:r>
                    <w:rPr>
                      <w:rStyle w:val="Strong"/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комерційного садочку “Ліко Світ Венеція” на вул. Конєва,12 А</w:t>
                  </w:r>
                </w:p>
                <w:p>
                  <w:pPr>
                    <w:pStyle w:val="NormalWeb"/>
                    <w:bidi w:val="0"/>
                    <w:spacing w:lineRule="auto" w:line="240" w:beforeAutospacing="0" w:before="0" w:afterAutospacing="0" w:after="0"/>
                    <w:jc w:val="both"/>
                    <w:textAlignment w:val="top"/>
                    <w:rPr/>
                  </w:pPr>
                  <w:r>
                    <w:rPr>
                      <w:rStyle w:val="Strong"/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садочку на вул. Вільямса,7(10)</w:t>
                  </w:r>
                </w:p>
                <w:p>
                  <w:pPr>
                    <w:pStyle w:val="NormalWeb"/>
                    <w:bidi w:val="0"/>
                    <w:spacing w:lineRule="auto" w:line="240" w:beforeAutospacing="0" w:before="0" w:afterAutospacing="0" w:after="0"/>
                    <w:jc w:val="both"/>
                    <w:textAlignment w:val="top"/>
                    <w:rPr/>
                  </w:pPr>
                  <w:r>
                    <w:rPr>
                      <w:rStyle w:val="Strong"/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двох садочків за адресою вул. Глушкова,6</w:t>
                  </w:r>
                </w:p>
                <w:p>
                  <w:pPr>
                    <w:pStyle w:val="NormalWeb"/>
                    <w:bidi w:val="0"/>
                    <w:spacing w:lineRule="auto" w:line="240" w:beforeAutospacing="0" w:before="0" w:afterAutospacing="0" w:after="0"/>
                    <w:jc w:val="both"/>
                    <w:textAlignment w:val="top"/>
                    <w:rPr/>
                  </w:pPr>
                  <w:r>
                    <w:rPr>
                      <w:rStyle w:val="Strong"/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комерційної школи початкових класів “Ліко Школа” на вул. Конєва, 7 Б</w:t>
                  </w:r>
                </w:p>
                <w:p>
                  <w:pPr>
                    <w:pStyle w:val="NormalWeb"/>
                    <w:bidi w:val="0"/>
                    <w:spacing w:lineRule="auto" w:line="240" w:beforeAutospacing="0" w:before="0" w:afterAutospacing="0" w:after="0"/>
                    <w:jc w:val="both"/>
                    <w:textAlignment w:val="top"/>
                    <w:rPr/>
                  </w:pPr>
                  <w:r>
                    <w:rPr>
                      <w:rStyle w:val="Strong"/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 школи старших класів по вул. Вільямса, Ломоносова, Мейтуса, Конєва з кадастровим номером 8000000000:79:364:0067</w:t>
                  </w:r>
                </w:p>
                <w:p>
                  <w:pPr>
                    <w:pStyle w:val="NormalWeb"/>
                    <w:bidi w:val="0"/>
                    <w:spacing w:lineRule="auto" w:line="240" w:beforeAutospacing="0" w:before="0" w:afterAutospacing="0" w:after="0"/>
                    <w:jc w:val="both"/>
                    <w:textAlignment w:val="top"/>
                    <w:rPr/>
                  </w:pPr>
                  <w:r>
                    <w:rPr>
                      <w:rStyle w:val="Strong"/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загальноосвітньої середньої школи на вул. Симоненко, 3</w:t>
                  </w:r>
                </w:p>
                <w:p>
                  <w:pPr>
                    <w:pStyle w:val="NormalWeb"/>
                    <w:bidi w:val="0"/>
                    <w:spacing w:lineRule="auto" w:line="240" w:beforeAutospacing="0" w:before="0" w:afterAutospacing="0" w:after="0"/>
                    <w:jc w:val="both"/>
                    <w:textAlignment w:val="top"/>
                    <w:rPr/>
                  </w:pPr>
                  <w:r>
                    <w:rPr>
                      <w:rStyle w:val="Strong"/>
                      <w:rFonts w:cs="Arial"/>
                      <w:b w:val="false"/>
                      <w:bCs w:val="false"/>
                      <w:color w:val="000000" w:themeColor="text1"/>
                      <w:sz w:val="24"/>
                      <w:szCs w:val="24"/>
                      <w:shd w:fill="FFFFFF" w:val="clear"/>
                      <w:lang w:val="uk-UA"/>
                    </w:rPr>
                    <w:t>- двох загальноосвітніх середніх шкіл на вул. Ковалевської.</w:t>
                  </w:r>
                </w:p>
              </w:tc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ListParagraph"/>
                    <w:bidi w:val="0"/>
                    <w:spacing w:lineRule="auto" w:line="240" w:before="0" w:after="200"/>
                    <w:ind w:left="0" w:firstLine="567"/>
                    <w:contextualSpacing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4. Це рішення офіційно оприлюднити в газеті Київської міської ради “Хрещатик”.</w:t>
                  </w:r>
                </w:p>
              </w:tc>
            </w:tr>
            <w:tr>
              <w:trPr/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Style24"/>
                    <w:spacing w:before="0" w:after="200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sz w:val="24"/>
                      <w:szCs w:val="24"/>
                      <w:lang w:val="uk-UA"/>
                    </w:rPr>
                  </w:r>
                </w:p>
              </w:tc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ListParagraph"/>
                    <w:bidi w:val="0"/>
                    <w:spacing w:lineRule="auto" w:line="240"/>
                    <w:ind w:left="0" w:firstLine="567"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5. Контроль за виконанням цього рішення покласти на постійну комісію Київської міської ради з питань містобудування, архітектури та землекористування, постійну комісію Київської міської ради з питань бюджету та соціально-економічного розвитку, постійну комісію Київської міської ради з питань власності та  постійну комісію Київської міської ради з питань освіти, науки, сім'ї, молоді та спорту.</w:t>
                  </w:r>
                </w:p>
              </w:tc>
            </w:tr>
            <w:tr>
              <w:trPr/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ListParagraph"/>
                    <w:spacing w:before="0" w:after="200"/>
                    <w:ind w:left="0" w:hanging="0"/>
                    <w:contextualSpacing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Київський міський голова                                                                          В. Кличко</w:t>
                  </w:r>
                </w:p>
              </w:tc>
              <w:tc>
                <w:tcPr>
                  <w:tcW w:w="392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fill="auto" w:val="clear"/>
                  <w:tcMar>
                    <w:left w:w="45" w:type="dxa"/>
                  </w:tcMar>
                </w:tcPr>
                <w:p>
                  <w:pPr>
                    <w:pStyle w:val="ListParagraph"/>
                    <w:bidi w:val="0"/>
                    <w:spacing w:lineRule="auto" w:line="240" w:before="0" w:after="200"/>
                    <w:ind w:left="0" w:hanging="0"/>
                    <w:contextualSpacing/>
                    <w:jc w:val="both"/>
                    <w:rPr/>
                  </w:pPr>
                  <w:r>
                    <w:rPr>
                      <w:rFonts w:cs="Times New Roman"/>
                      <w:sz w:val="24"/>
                      <w:szCs w:val="24"/>
                      <w:lang w:val="uk-UA"/>
                    </w:rPr>
                    <w:t>Київський міський голова                                                                          В. Кличко</w:t>
                  </w:r>
                </w:p>
              </w:tc>
            </w:tr>
          </w:tbl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rFonts w:ascii="Times New Roman CYR" w:hAnsi="Times New Roman CYR" w:eastAsia="Calibri" w:cs="Times New Roman CYR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ru-RU"/>
              </w:rPr>
              <w:t>За – 5, проти – немає, утрималось – немає, не голосували-немає.</w:t>
            </w:r>
            <w:r>
              <w:rPr>
                <w:rStyle w:val="Style12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 xml:space="preserve">Головцову Н.В. - представника  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>ГО “НАРКОНОН” щодо участі у проекті “Майбутнє дітей України, вільне від наркотиків!”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/>
                <w:i/>
                <w:iCs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lang w:val="uk-UA" w:eastAsia="ru-RU"/>
              </w:rPr>
              <w:t>Шульга Н.І.,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lang w:val="uk-UA" w:eastAsia="ru-RU"/>
              </w:rPr>
              <w:t>Васильчук В.В., Старостенко Г.В., Фіданян О.Г., Паладій С.В., Бондаренко Л.В.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b w:val="false"/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lang w:val="uk-UA" w:eastAsia="ru-RU"/>
              </w:rPr>
              <w:t xml:space="preserve">На наступному засіданні комісії розглянути питання щодо заходів по профілактиці наркоманії серед молоді за участю представників Департаменту освіти і науки, молоді та спорту, Служби у справах дітей та сім'ї м.Києва, управління молоді та спорту Департаменту освіти і науки, молоді та спорту, Ювенальної превенції м. Києва, Департаменту міського благоустрою.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ru-RU"/>
              </w:rPr>
              <w:t>За – 5, проти – немає, утрималось – немає, не голосували-немає.</w:t>
            </w:r>
            <w:r>
              <w:rPr>
                <w:rStyle w:val="Style12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 xml:space="preserve">Шмуляра О.В. - заступника директора Департаменту комунальної власності м.Києва, який поінформував про проект рішення Київської міської ради 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>“Про затвердження переліку об’єктів комунальної власності територіальної громади міста Києва, право оренди яких виборюється на конкурсних засадах”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/>
                <w:iCs/>
                <w:color w:val="000000"/>
                <w:szCs w:val="28"/>
                <w:highlight w:val="white"/>
                <w:lang w:val="uk-UA" w:eastAsia="ru-RU"/>
              </w:rPr>
              <w:t xml:space="preserve"> (доручення заступника міського голови-секретаря Київської міської ради Прокопіва В.В. №08/231-1181/ПР від 10.04.2018)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>Васильчук В.В., Мельнікова О.О., Старостенко Г.В., Гончаров О.В., Паладій С.В.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 xml:space="preserve">Створити підготовчу групу по вивченню проекту рішення Київської міської ради 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>“Про затвердження переліку об’єктів комунальної власності територіальної громади міста Києва, право оренди яких виборюється на конкурсних засадах” на чолі з Васильчуком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ru-RU"/>
              </w:rPr>
              <w:t>За –4, проти – немає, утрималось – 1, не голосували-немає.</w:t>
            </w:r>
            <w:r>
              <w:rPr>
                <w:rStyle w:val="Style12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 xml:space="preserve">Васильчука В.В. - депутата Київської міської ради 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 xml:space="preserve"> щодо внесення змін до Програми економічного і соціального розвитку м. Києва на 2018 рік в частині виділення додаткових коштів з бюджету м. Києва на</w:t>
            </w:r>
            <w:r>
              <w:rPr>
                <w:rFonts w:eastAsia="Calibri" w:cs="Times New Roman CYR" w:ascii="Times New Roman CYR" w:hAnsi="Times New Roman CYR"/>
                <w:b w:val="false"/>
                <w:bCs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 xml:space="preserve"> проведення реконструкцій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 xml:space="preserve"> стадіону Спеціалізованої школи №120 по вул. Райдужна, 17-Б та спортивного майданчика на бульв. Перова, 23 у Дніпровському районі м.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 w:val="false"/>
                <w:b w:val="false"/>
                <w:bCs w:val="false"/>
                <w:i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>Старостенко Г.В.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lang w:val="uk-UA" w:eastAsia="ru-RU"/>
              </w:rPr>
              <w:t>Звернутися до постійної комісії Київської міської ради з питань бюджету та соціально-економічного розвитку щодо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lang w:val="uk-UA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>внесення змін до Програми економічного і соціального розвитку м. Києва на 2018 рік в частині виділення додаткових коштів з бюджету м. Києва на</w:t>
            </w:r>
            <w:r>
              <w:rPr>
                <w:rFonts w:eastAsia="Calibri" w:cs="Times New Roman CYR" w:ascii="Times New Roman CYR" w:hAnsi="Times New Roman CYR"/>
                <w:b w:val="false"/>
                <w:bCs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 xml:space="preserve"> проведення реконструкцій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olor w:val="000000"/>
                <w:szCs w:val="28"/>
                <w:highlight w:val="white"/>
                <w:lang w:val="uk-UA" w:eastAsia="ru-RU"/>
              </w:rPr>
              <w:t xml:space="preserve"> стадіону Спеціалізованої школи №120 по вул. Райдужна, 17-Б та спортивного майданчика на бульв. Перова, 23 у Дніпровському районі м. Києва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  <w:lang w:val="uk-UA" w:eastAsia="ru-RU"/>
              </w:rPr>
              <w:t>За – 5, проти – немає, утрималось – немає, не голосували-немає.</w:t>
            </w:r>
            <w:r>
              <w:rPr>
                <w:rStyle w:val="Style12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  <w:lang w:val="uk-UA"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highlight w:val="whit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  <w:lang w:val="uk-UA"/>
              </w:rPr>
              <w:t xml:space="preserve">комісії                                                                         Г.Старостенко   </w:t>
            </w:r>
          </w:p>
          <w:p>
            <w:pPr>
              <w:pStyle w:val="Normal"/>
              <w:ind w:hanging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rPr/>
            </w:pPr>
            <w:bookmarkStart w:id="14" w:name="_GoBack"/>
            <w:bookmarkEnd w:id="14"/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  <w:lang w:val="uk-UA"/>
              </w:rPr>
              <w:t>комісії                                                                          Н.Шульг</w:t>
            </w:r>
            <w:bookmarkStart w:id="15" w:name="__UnoMark__4851_1942424965"/>
            <w:bookmarkEnd w:id="15"/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  <w:lang w:val="uk-UA"/>
              </w:rPr>
              <w:t>а</w:t>
            </w:r>
          </w:p>
          <w:p>
            <w:pPr>
              <w:pStyle w:val="Normal"/>
              <w:ind w:hanging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</w:r>
          </w:p>
          <w:p>
            <w:pPr>
              <w:pStyle w:val="Normal"/>
              <w:ind w:hanging="0"/>
              <w:rPr>
                <w:color w:val="000000"/>
                <w:szCs w:val="28"/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</w:r>
          </w:p>
          <w:p>
            <w:pPr>
              <w:pStyle w:val="Normal"/>
              <w:ind w:hanging="0"/>
              <w:rPr>
                <w:rStyle w:val="Style12"/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ind w:hanging="0"/>
              <w:rPr>
                <w:rStyle w:val="Style12"/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  <w:lang w:val="uk-UA"/>
              </w:rPr>
              <w:t xml:space="preserve"> </w:t>
            </w:r>
          </w:p>
          <w:p>
            <w:pPr>
              <w:pStyle w:val="Normal"/>
              <w:ind w:hanging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  <w:p>
            <w:pPr>
              <w:pStyle w:val="Normal"/>
              <w:ind w:hanging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</w:tc>
      </w:tr>
      <w:tr>
        <w:trPr>
          <w:trHeight w:val="60" w:hRule="atLeast"/>
        </w:trPr>
        <w:tc>
          <w:tcPr>
            <w:tcW w:w="2111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7956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color w:val="000000"/>
                <w:szCs w:val="28"/>
                <w:highlight w:val="white"/>
              </w:rPr>
            </w:pPr>
            <w:r>
              <w:rPr>
                <w:color w:val="000000"/>
                <w:szCs w:val="28"/>
                <w:highlight w:val="white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2">
    <w:name w:val="Heading 2"/>
    <w:basedOn w:val="Style17"/>
    <w:qFormat/>
    <w:pPr>
      <w:outlineLvl w:val="1"/>
    </w:pPr>
    <w:rPr/>
  </w:style>
  <w:style w:type="paragraph" w:styleId="5">
    <w:name w:val="Heading 5"/>
    <w:basedOn w:val="Style17"/>
    <w:qFormat/>
    <w:pPr>
      <w:outlineLvl w:val="4"/>
    </w:pPr>
    <w:rPr/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Основной шрифт абзаца1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color w:val="000000"/>
    </w:rPr>
  </w:style>
  <w:style w:type="character" w:styleId="WW8Num3z0" w:customStyle="1">
    <w:name w:val="WW8Num3z0"/>
    <w:qFormat/>
    <w:rPr>
      <w:rFonts w:ascii="Symbol" w:hAnsi="Symbol" w:cs="OpenSymbol"/>
    </w:rPr>
  </w:style>
  <w:style w:type="character" w:styleId="WW8Num3z1" w:customStyle="1">
    <w:name w:val="WW8Num3z1"/>
    <w:qFormat/>
    <w:rPr>
      <w:rFonts w:ascii="OpenSymbol" w:hAnsi="OpenSymbol" w:cs="OpenSymbol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>
      <w:rFonts w:eastAsia="Calibri"/>
      <w:color w:val="000000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51" w:customStyle="1">
    <w:name w:val="Основной шрифт абзаца5"/>
    <w:qFormat/>
    <w:rPr/>
  </w:style>
  <w:style w:type="character" w:styleId="4" w:customStyle="1">
    <w:name w:val="Основной шрифт абзаца4"/>
    <w:qFormat/>
    <w:rPr/>
  </w:style>
  <w:style w:type="character" w:styleId="3" w:customStyle="1">
    <w:name w:val="Основной шрифт абзаца3"/>
    <w:qFormat/>
    <w:rPr/>
  </w:style>
  <w:style w:type="character" w:styleId="21" w:customStyle="1">
    <w:name w:val="Основной шрифт абзаца2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/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i w:val="false"/>
    </w:rPr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2" w:customStyle="1">
    <w:name w:val="WW8Num21z2"/>
    <w:qFormat/>
    <w:rPr>
      <w:rFonts w:ascii="Wingdings" w:hAnsi="Wingdings" w:cs="Wingdings"/>
    </w:rPr>
  </w:style>
  <w:style w:type="character" w:styleId="WW8Num21z3" w:customStyle="1">
    <w:name w:val="WW8Num21z3"/>
    <w:qFormat/>
    <w:rPr>
      <w:rFonts w:ascii="Symbol" w:hAnsi="Symbol" w:cs="Symbol"/>
    </w:rPr>
  </w:style>
  <w:style w:type="character" w:styleId="WW8Num22z0" w:customStyle="1">
    <w:name w:val="WW8Num22z0"/>
    <w:qFormat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2z3" w:customStyle="1">
    <w:name w:val="WW8Num22z3"/>
    <w:qFormat/>
    <w:rPr>
      <w:rFonts w:ascii="Symbol" w:hAnsi="Symbol" w:cs="Symbol"/>
    </w:rPr>
  </w:style>
  <w:style w:type="character" w:styleId="WW8Num23z0" w:customStyle="1">
    <w:name w:val="WW8Num23z0"/>
    <w:qFormat/>
    <w:rPr/>
  </w:style>
  <w:style w:type="character" w:styleId="WW8Num23z1" w:customStyle="1">
    <w:name w:val="WW8Num23z1"/>
    <w:qFormat/>
    <w:rPr/>
  </w:style>
  <w:style w:type="character" w:styleId="WW8Num23z2" w:customStyle="1">
    <w:name w:val="WW8Num23z2"/>
    <w:qFormat/>
    <w:rPr/>
  </w:style>
  <w:style w:type="character" w:styleId="WW8Num23z3" w:customStyle="1">
    <w:name w:val="WW8Num23z3"/>
    <w:qFormat/>
    <w:rPr/>
  </w:style>
  <w:style w:type="character" w:styleId="WW8Num23z4" w:customStyle="1">
    <w:name w:val="WW8Num23z4"/>
    <w:qFormat/>
    <w:rPr/>
  </w:style>
  <w:style w:type="character" w:styleId="WW8Num23z5" w:customStyle="1">
    <w:name w:val="WW8Num23z5"/>
    <w:qFormat/>
    <w:rPr/>
  </w:style>
  <w:style w:type="character" w:styleId="WW8Num23z6" w:customStyle="1">
    <w:name w:val="WW8Num23z6"/>
    <w:qFormat/>
    <w:rPr/>
  </w:style>
  <w:style w:type="character" w:styleId="WW8Num23z7" w:customStyle="1">
    <w:name w:val="WW8Num23z7"/>
    <w:qFormat/>
    <w:rPr/>
  </w:style>
  <w:style w:type="character" w:styleId="WW8Num23z8" w:customStyle="1">
    <w:name w:val="WW8Num23z8"/>
    <w:qFormat/>
    <w:rPr/>
  </w:style>
  <w:style w:type="character" w:styleId="WW8Num24z0" w:customStyle="1">
    <w:name w:val="WW8Num24z0"/>
    <w:qFormat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Pr/>
  </w:style>
  <w:style w:type="character" w:styleId="WW8Num24z2" w:customStyle="1">
    <w:name w:val="WW8Num24z2"/>
    <w:qFormat/>
    <w:rPr/>
  </w:style>
  <w:style w:type="character" w:styleId="WW8Num24z3" w:customStyle="1">
    <w:name w:val="WW8Num24z3"/>
    <w:qFormat/>
    <w:rPr/>
  </w:style>
  <w:style w:type="character" w:styleId="WW8Num24z4" w:customStyle="1">
    <w:name w:val="WW8Num24z4"/>
    <w:qFormat/>
    <w:rPr/>
  </w:style>
  <w:style w:type="character" w:styleId="WW8Num24z5" w:customStyle="1">
    <w:name w:val="WW8Num24z5"/>
    <w:qFormat/>
    <w:rPr/>
  </w:style>
  <w:style w:type="character" w:styleId="WW8Num24z6" w:customStyle="1">
    <w:name w:val="WW8Num24z6"/>
    <w:qFormat/>
    <w:rPr/>
  </w:style>
  <w:style w:type="character" w:styleId="WW8Num24z7" w:customStyle="1">
    <w:name w:val="WW8Num24z7"/>
    <w:qFormat/>
    <w:rPr/>
  </w:style>
  <w:style w:type="character" w:styleId="WW8Num24z8" w:customStyle="1">
    <w:name w:val="WW8Num24z8"/>
    <w:qFormat/>
    <w:rPr/>
  </w:style>
  <w:style w:type="character" w:styleId="WW8Num25z0" w:customStyle="1">
    <w:name w:val="WW8Num25z0"/>
    <w:qFormat/>
    <w:rPr/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WW8Num26z0" w:customStyle="1">
    <w:name w:val="WW8Num26z0"/>
    <w:qFormat/>
    <w:rPr/>
  </w:style>
  <w:style w:type="character" w:styleId="WW8Num26z1" w:customStyle="1">
    <w:name w:val="WW8Num26z1"/>
    <w:qFormat/>
    <w:rPr/>
  </w:style>
  <w:style w:type="character" w:styleId="WW8Num26z2" w:customStyle="1">
    <w:name w:val="WW8Num26z2"/>
    <w:qFormat/>
    <w:rPr/>
  </w:style>
  <w:style w:type="character" w:styleId="WW8Num26z3" w:customStyle="1">
    <w:name w:val="WW8Num26z3"/>
    <w:qFormat/>
    <w:rPr/>
  </w:style>
  <w:style w:type="character" w:styleId="WW8Num26z4" w:customStyle="1">
    <w:name w:val="WW8Num26z4"/>
    <w:qFormat/>
    <w:rPr/>
  </w:style>
  <w:style w:type="character" w:styleId="WW8Num26z5" w:customStyle="1">
    <w:name w:val="WW8Num26z5"/>
    <w:qFormat/>
    <w:rPr/>
  </w:style>
  <w:style w:type="character" w:styleId="WW8Num26z6" w:customStyle="1">
    <w:name w:val="WW8Num26z6"/>
    <w:qFormat/>
    <w:rPr/>
  </w:style>
  <w:style w:type="character" w:styleId="WW8Num26z7" w:customStyle="1">
    <w:name w:val="WW8Num26z7"/>
    <w:qFormat/>
    <w:rPr/>
  </w:style>
  <w:style w:type="character" w:styleId="WW8Num26z8" w:customStyle="1">
    <w:name w:val="WW8Num26z8"/>
    <w:qFormat/>
    <w:rPr/>
  </w:style>
  <w:style w:type="character" w:styleId="WW8Num27z0" w:customStyle="1">
    <w:name w:val="WW8Num27z0"/>
    <w:qFormat/>
    <w:rPr/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WW8Num28z0" w:customStyle="1">
    <w:name w:val="WW8Num28z0"/>
    <w:qFormat/>
    <w:rPr/>
  </w:style>
  <w:style w:type="character" w:styleId="WW8Num28z1" w:customStyle="1">
    <w:name w:val="WW8Num28z1"/>
    <w:qFormat/>
    <w:rPr/>
  </w:style>
  <w:style w:type="character" w:styleId="WW8Num28z2" w:customStyle="1">
    <w:name w:val="WW8Num28z2"/>
    <w:qFormat/>
    <w:rPr/>
  </w:style>
  <w:style w:type="character" w:styleId="WW8Num28z3" w:customStyle="1">
    <w:name w:val="WW8Num28z3"/>
    <w:qFormat/>
    <w:rPr/>
  </w:style>
  <w:style w:type="character" w:styleId="WW8Num28z4" w:customStyle="1">
    <w:name w:val="WW8Num28z4"/>
    <w:qFormat/>
    <w:rPr/>
  </w:style>
  <w:style w:type="character" w:styleId="WW8Num28z5" w:customStyle="1">
    <w:name w:val="WW8Num28z5"/>
    <w:qFormat/>
    <w:rPr/>
  </w:style>
  <w:style w:type="character" w:styleId="WW8Num28z6" w:customStyle="1">
    <w:name w:val="WW8Num28z6"/>
    <w:qFormat/>
    <w:rPr/>
  </w:style>
  <w:style w:type="character" w:styleId="WW8Num28z7" w:customStyle="1">
    <w:name w:val="WW8Num28z7"/>
    <w:qFormat/>
    <w:rPr/>
  </w:style>
  <w:style w:type="character" w:styleId="WW8Num28z8" w:customStyle="1">
    <w:name w:val="WW8Num28z8"/>
    <w:qFormat/>
    <w:rPr/>
  </w:style>
  <w:style w:type="character" w:styleId="WW8Num29z0" w:customStyle="1">
    <w:name w:val="WW8Num29z0"/>
    <w:qFormat/>
    <w:rPr/>
  </w:style>
  <w:style w:type="character" w:styleId="WW8Num29z1" w:customStyle="1">
    <w:name w:val="WW8Num29z1"/>
    <w:qFormat/>
    <w:rPr/>
  </w:style>
  <w:style w:type="character" w:styleId="WW8Num29z2" w:customStyle="1">
    <w:name w:val="WW8Num29z2"/>
    <w:qFormat/>
    <w:rPr/>
  </w:style>
  <w:style w:type="character" w:styleId="WW8Num29z3" w:customStyle="1">
    <w:name w:val="WW8Num29z3"/>
    <w:qFormat/>
    <w:rPr/>
  </w:style>
  <w:style w:type="character" w:styleId="WW8Num29z4" w:customStyle="1">
    <w:name w:val="WW8Num29z4"/>
    <w:qFormat/>
    <w:rPr/>
  </w:style>
  <w:style w:type="character" w:styleId="WW8Num29z5" w:customStyle="1">
    <w:name w:val="WW8Num29z5"/>
    <w:qFormat/>
    <w:rPr/>
  </w:style>
  <w:style w:type="character" w:styleId="WW8Num29z6" w:customStyle="1">
    <w:name w:val="WW8Num29z6"/>
    <w:qFormat/>
    <w:rPr/>
  </w:style>
  <w:style w:type="character" w:styleId="WW8Num29z7" w:customStyle="1">
    <w:name w:val="WW8Num29z7"/>
    <w:qFormat/>
    <w:rPr/>
  </w:style>
  <w:style w:type="character" w:styleId="WW8Num29z8" w:customStyle="1">
    <w:name w:val="WW8Num29z8"/>
    <w:qFormat/>
    <w:rPr/>
  </w:style>
  <w:style w:type="character" w:styleId="WW8Num30z0" w:customStyle="1">
    <w:name w:val="WW8Num30z0"/>
    <w:qFormat/>
    <w:rPr/>
  </w:style>
  <w:style w:type="character" w:styleId="WW8Num30z1" w:customStyle="1">
    <w:name w:val="WW8Num30z1"/>
    <w:qFormat/>
    <w:rPr/>
  </w:style>
  <w:style w:type="character" w:styleId="WW8Num30z2" w:customStyle="1">
    <w:name w:val="WW8Num30z2"/>
    <w:qFormat/>
    <w:rPr/>
  </w:style>
  <w:style w:type="character" w:styleId="WW8Num30z3" w:customStyle="1">
    <w:name w:val="WW8Num30z3"/>
    <w:qFormat/>
    <w:rPr/>
  </w:style>
  <w:style w:type="character" w:styleId="WW8Num30z4" w:customStyle="1">
    <w:name w:val="WW8Num30z4"/>
    <w:qFormat/>
    <w:rPr/>
  </w:style>
  <w:style w:type="character" w:styleId="WW8Num30z5" w:customStyle="1">
    <w:name w:val="WW8Num30z5"/>
    <w:qFormat/>
    <w:rPr/>
  </w:style>
  <w:style w:type="character" w:styleId="WW8Num30z6" w:customStyle="1">
    <w:name w:val="WW8Num30z6"/>
    <w:qFormat/>
    <w:rPr/>
  </w:style>
  <w:style w:type="character" w:styleId="WW8Num30z7" w:customStyle="1">
    <w:name w:val="WW8Num30z7"/>
    <w:qFormat/>
    <w:rPr/>
  </w:style>
  <w:style w:type="character" w:styleId="WW8Num30z8" w:customStyle="1">
    <w:name w:val="WW8Num30z8"/>
    <w:qFormat/>
    <w:rPr/>
  </w:style>
  <w:style w:type="character" w:styleId="WW8Num31z0" w:customStyle="1">
    <w:name w:val="WW8Num31z0"/>
    <w:qFormat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Pr>
      <w:rFonts w:ascii="Courier New" w:hAnsi="Courier New" w:cs="Courier New"/>
    </w:rPr>
  </w:style>
  <w:style w:type="character" w:styleId="WW8Num31z2" w:customStyle="1">
    <w:name w:val="WW8Num31z2"/>
    <w:qFormat/>
    <w:rPr>
      <w:rFonts w:ascii="Wingdings" w:hAnsi="Wingdings" w:cs="Wingdings"/>
    </w:rPr>
  </w:style>
  <w:style w:type="character" w:styleId="WW8Num31z3" w:customStyle="1">
    <w:name w:val="WW8Num31z3"/>
    <w:qFormat/>
    <w:rPr>
      <w:rFonts w:ascii="Symbol" w:hAnsi="Symbol" w:cs="Symbol"/>
    </w:rPr>
  </w:style>
  <w:style w:type="character" w:styleId="Style12" w:customStyle="1">
    <w:name w:val="Интернет-ссылка"/>
    <w:rPr>
      <w:color w:val="0000FF"/>
      <w:u w:val="single"/>
    </w:rPr>
  </w:style>
  <w:style w:type="character" w:styleId="22" w:customStyle="1">
    <w:name w:val="Заголовок 2 Знак"/>
    <w:qFormat/>
    <w:rPr>
      <w:b/>
      <w:bCs/>
      <w:sz w:val="36"/>
      <w:szCs w:val="36"/>
    </w:rPr>
  </w:style>
  <w:style w:type="character" w:styleId="Appleconvertedspace" w:customStyle="1">
    <w:name w:val="apple-converted-space"/>
    <w:basedOn w:val="1"/>
    <w:qFormat/>
    <w:rPr>
      <w:rFonts w:cs="Times New Roman"/>
    </w:rPr>
  </w:style>
  <w:style w:type="character" w:styleId="31" w:customStyle="1">
    <w:name w:val="Заголовок 3 Знак"/>
    <w:basedOn w:val="1"/>
    <w:qFormat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3" w:customStyle="1">
    <w:name w:val="Символ нумерации"/>
    <w:qFormat/>
    <w:rPr/>
  </w:style>
  <w:style w:type="character" w:styleId="Ins" w:customStyle="1">
    <w:name w:val="ins"/>
    <w:qFormat/>
    <w:rPr/>
  </w:style>
  <w:style w:type="character" w:styleId="Strong">
    <w:name w:val="Strong"/>
    <w:qFormat/>
    <w:rPr>
      <w:b/>
      <w:bCs/>
    </w:rPr>
  </w:style>
  <w:style w:type="character" w:styleId="41" w:customStyle="1">
    <w:name w:val="Основной текст (4)_"/>
    <w:basedOn w:val="1"/>
    <w:qFormat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styleId="42" w:customStyle="1">
    <w:name w:val="Основной текст (4) + Полужирный"/>
    <w:basedOn w:val="41"/>
    <w:qFormat/>
    <w:rPr>
      <w:rFonts w:ascii="Times New Roman" w:hAnsi="Times New Roman" w:cs="Times New Roman"/>
      <w:i w:val="false"/>
      <w:iCs w:val="false"/>
      <w:sz w:val="27"/>
      <w:szCs w:val="27"/>
      <w:highlight w:val="white"/>
    </w:rPr>
  </w:style>
  <w:style w:type="character" w:styleId="Style14" w:customStyle="1">
    <w:name w:val="Маркеры списка"/>
    <w:qFormat/>
    <w:rPr>
      <w:rFonts w:ascii="OpenSymbol" w:hAnsi="OpenSymbol" w:eastAsia="OpenSymbol" w:cs="OpenSymbol"/>
    </w:rPr>
  </w:style>
  <w:style w:type="character" w:styleId="Style15" w:customStyle="1">
    <w:name w:val="Выделение"/>
    <w:qFormat/>
    <w:rPr>
      <w:i/>
      <w:iCs/>
    </w:rPr>
  </w:style>
  <w:style w:type="character" w:styleId="ListLabel1" w:customStyle="1">
    <w:name w:val="ListLabel 1"/>
    <w:qFormat/>
    <w:rPr>
      <w:color w:val="000000"/>
    </w:rPr>
  </w:style>
  <w:style w:type="character" w:styleId="Style16" w:customStyle="1">
    <w:name w:val="Выделение жирным"/>
    <w:qFormat/>
    <w:rPr>
      <w:b/>
      <w:bCs/>
    </w:rPr>
  </w:style>
  <w:style w:type="character" w:styleId="ListLabel2" w:customStyle="1">
    <w:name w:val="ListLabel 2"/>
    <w:qFormat/>
    <w:rPr>
      <w:rFonts w:eastAsia="Calibri" w:cs="Times New Roman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paragraph" w:styleId="Style17" w:customStyle="1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 w:customStyle="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 w:customStyle="1">
    <w:name w:val="Заголовок 11"/>
    <w:basedOn w:val="Style17"/>
    <w:qFormat/>
    <w:pPr>
      <w:outlineLvl w:val="0"/>
    </w:pPr>
    <w:rPr>
      <w:b/>
      <w:bCs/>
      <w:sz w:val="36"/>
      <w:szCs w:val="36"/>
    </w:rPr>
  </w:style>
  <w:style w:type="paragraph" w:styleId="211" w:customStyle="1">
    <w:name w:val="Заголовок 21"/>
    <w:basedOn w:val="Normal"/>
    <w:qFormat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11" w:customStyle="1">
    <w:name w:val="Заголовок 31"/>
    <w:basedOn w:val="Normal"/>
    <w:qFormat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11" w:customStyle="1">
    <w:name w:val="Заголовок 51"/>
    <w:basedOn w:val="Style17"/>
    <w:qFormat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1" w:customStyle="1">
    <w:name w:val="Заголовок 61"/>
    <w:basedOn w:val="Style17"/>
    <w:qFormat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paragraph" w:styleId="12" w:customStyle="1">
    <w:name w:val="Назва об'є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yle22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pPr>
      <w:suppressLineNumbers/>
    </w:pPr>
    <w:rPr>
      <w:rFonts w:cs="Mangal"/>
    </w:rPr>
  </w:style>
  <w:style w:type="paragraph" w:styleId="32" w:customStyle="1">
    <w:name w:val="Название объекта3"/>
    <w:basedOn w:val="Style17"/>
    <w:qFormat/>
    <w:pPr>
      <w:jc w:val="center"/>
    </w:pPr>
    <w:rPr>
      <w:b/>
      <w:bCs/>
      <w:sz w:val="56"/>
      <w:szCs w:val="56"/>
    </w:rPr>
  </w:style>
  <w:style w:type="paragraph" w:styleId="33" w:customStyle="1">
    <w:name w:val="Указатель3"/>
    <w:basedOn w:val="Normal"/>
    <w:qFormat/>
    <w:pPr>
      <w:suppressLineNumbers/>
    </w:pPr>
    <w:rPr>
      <w:rFonts w:cs="Mangal"/>
    </w:rPr>
  </w:style>
  <w:style w:type="paragraph" w:styleId="23" w:customStyle="1">
    <w:name w:val="Название объекта2"/>
    <w:basedOn w:val="Style17"/>
    <w:qFormat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pPr>
      <w:suppressLineNumbers/>
    </w:pPr>
    <w:rPr>
      <w:rFonts w:cs="Mangal"/>
    </w:rPr>
  </w:style>
  <w:style w:type="paragraph" w:styleId="13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3" w:customStyle="1">
    <w:name w:val="Знак"/>
    <w:basedOn w:val="Normal"/>
    <w:qFormat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5" w:customStyle="1">
    <w:name w:val="Обычный1"/>
    <w:basedOn w:val="Normal"/>
    <w:qFormat/>
    <w:pPr/>
    <w:rPr>
      <w:sz w:val="24"/>
    </w:rPr>
  </w:style>
  <w:style w:type="paragraph" w:styleId="Style24" w:customStyle="1">
    <w:name w:val="Содержимое таблицы"/>
    <w:basedOn w:val="Normal"/>
    <w:qFormat/>
    <w:pPr>
      <w:suppressLineNumbers/>
    </w:pPr>
    <w:rPr/>
  </w:style>
  <w:style w:type="paragraph" w:styleId="Style25" w:customStyle="1">
    <w:name w:val="Заголовок таблицы"/>
    <w:basedOn w:val="Style24"/>
    <w:qFormat/>
    <w:pPr>
      <w:jc w:val="center"/>
    </w:pPr>
    <w:rPr>
      <w:b/>
      <w:bCs/>
    </w:rPr>
  </w:style>
  <w:style w:type="paragraph" w:styleId="Style26" w:customStyle="1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Style27">
    <w:name w:val="Subtitle"/>
    <w:basedOn w:val="Style17"/>
    <w:qFormat/>
    <w:pPr>
      <w:spacing w:before="60" w:after="120"/>
      <w:jc w:val="center"/>
    </w:pPr>
    <w:rPr>
      <w:sz w:val="36"/>
      <w:szCs w:val="36"/>
    </w:rPr>
  </w:style>
  <w:style w:type="paragraph" w:styleId="Style28" w:customStyle="1">
    <w:name w:val="Текст в заданном формате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16" w:customStyle="1">
    <w:name w:val="Библиография 1"/>
    <w:basedOn w:val="24"/>
    <w:qFormat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qFormat/>
    <w:pPr>
      <w:spacing w:before="0" w:after="0"/>
      <w:ind w:left="720" w:firstLine="720"/>
      <w:contextualSpacing/>
    </w:pPr>
    <w:rPr/>
  </w:style>
  <w:style w:type="paragraph" w:styleId="17" w:customStyle="1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paragraph" w:styleId="Style29" w:customStyle="1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</w:style>
  <w:style w:type="numbering" w:styleId="WW8Num7" w:customStyle="1">
    <w:name w:val="WW8Num7"/>
    <w:qFormat/>
  </w:style>
  <w:style w:type="numbering" w:styleId="WW8Num6" w:customStyle="1">
    <w:name w:val="WW8Num6"/>
    <w:qFormat/>
  </w:style>
  <w:style w:type="numbering" w:styleId="WW8Num8" w:customStyle="1">
    <w:name w:val="WW8Num8"/>
    <w:qFormat/>
  </w:style>
  <w:style w:type="numbering" w:styleId="WW8Num15" w:customStyle="1">
    <w:name w:val="WW8Num15"/>
    <w:qFormat/>
  </w:style>
  <w:style w:type="numbering" w:styleId="WW8Num14" w:customStyle="1">
    <w:name w:val="WW8Num14"/>
    <w:qFormat/>
  </w:style>
  <w:style w:type="numbering" w:styleId="WW8Num9" w:customStyle="1">
    <w:name w:val="WW8Num9"/>
    <w:qFormat/>
  </w:style>
  <w:style w:type="numbering" w:styleId="WW8Num4" w:customStyle="1">
    <w:name w:val="WW8Num4"/>
    <w:qFormat/>
  </w:style>
  <w:style w:type="numbering" w:styleId="WW8Num13" w:customStyle="1">
    <w:name w:val="WW8Num13"/>
    <w:qFormat/>
  </w:style>
  <w:style w:type="numbering" w:styleId="WW8Num5" w:customStyle="1">
    <w:name w:val="WW8Num5"/>
    <w:qFormat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zakon3.rada.gov.ua/laws/show/254&#1082;/96-&#1074;&#1088;" TargetMode="External"/><Relationship Id="rId4" Type="http://schemas.openxmlformats.org/officeDocument/2006/relationships/hyperlink" Target="http://zakon3.rada.gov.ua/laws/show/254&#1082;/96-&#1074;&#1088;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10590</TotalTime>
  <Application>LibreOffice/5.3.7.2$Windows_X86_64 LibreOffice_project/6b8ed514a9f8b44d37a1b96673cbbdd077e24059</Application>
  <Pages>37</Pages>
  <Words>10948</Words>
  <Characters>76742</Characters>
  <CharactersWithSpaces>88486</CharactersWithSpaces>
  <Paragraphs>451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2017-12-26T19:49:00Z</dcterms:created>
  <dc:creator>Rudenko</dc:creator>
  <dc:description/>
  <dc:language>ru-RU</dc:language>
  <cp:lastModifiedBy/>
  <cp:lastPrinted>2018-06-04T09:28:36Z</cp:lastPrinted>
  <dcterms:modified xsi:type="dcterms:W3CDTF">2018-06-04T09:30:12Z</dcterms:modified>
  <cp:revision>534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