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</w:t>
      </w:r>
      <w:r>
        <w:rPr>
          <w:b/>
          <w:szCs w:val="28"/>
        </w:rPr>
        <w:t>8</w:t>
      </w:r>
      <w:r>
        <w:rPr>
          <w:b/>
          <w:szCs w:val="28"/>
        </w:rPr>
        <w:t>/5</w:t>
      </w:r>
      <w:r>
        <w:rPr>
          <w:b/>
          <w:szCs w:val="28"/>
        </w:rPr>
        <w:t>9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36, кім. </w:t>
      </w:r>
      <w:r>
        <w:rPr>
          <w:b/>
          <w:szCs w:val="28"/>
        </w:rPr>
        <w:t>1017</w:t>
      </w:r>
      <w:r>
        <w:rPr>
          <w:b/>
          <w:szCs w:val="28"/>
        </w:rPr>
        <w:t xml:space="preserve">                                                          08.05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Фіданян О.Г. – </w:t>
            </w:r>
            <w:r>
              <w:rPr>
                <w:szCs w:val="28"/>
              </w:rPr>
              <w:t>д</w:t>
            </w:r>
            <w:r>
              <w:rPr>
                <w:szCs w:val="28"/>
              </w:rPr>
              <w:t>иректор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Лендєл Л.П. – начальник відділу правового забезпечення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Мосійчук Ю.А. 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Гутцайт В.М. – заступник директора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Трофіменко В.М. – головний спеціаліст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Федорчук О.В. – юрисконсульт управління освіти Голосіївської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Мельнікова О.О. – заступник начальника управління освіти Дніпровської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Рабійчук О.В. – заступник начальника відділу управління освіти Дніпровської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Арендар С.М. – спеціаліст управління освіти Деснянсько</w:t>
            </w:r>
            <w:r>
              <w:rPr>
                <w:bCs/>
                <w:iCs/>
                <w:szCs w:val="28"/>
              </w:rPr>
              <w:t>ї РДА</w:t>
            </w:r>
            <w:r>
              <w:rPr>
                <w:bCs/>
                <w:iCs/>
                <w:szCs w:val="28"/>
              </w:rPr>
              <w:t xml:space="preserve"> району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Маківська В.М. – спеціаліст управління освіти Шевченківсько</w:t>
            </w:r>
            <w:r>
              <w:rPr>
                <w:bCs/>
                <w:iCs/>
                <w:szCs w:val="28"/>
              </w:rPr>
              <w:t>ї РДА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Бовсуновський С.В. – директор КП з експлуатації та ремонту “Житло-сервіс”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Кудляк С.М. – директор спеціалізованої школи </w:t>
            </w:r>
            <w:r>
              <w:rPr>
                <w:bCs/>
                <w:iCs/>
                <w:szCs w:val="28"/>
                <w:lang w:val="en-US"/>
              </w:rPr>
              <w:t xml:space="preserve">I-III </w:t>
            </w:r>
            <w:r>
              <w:rPr>
                <w:bCs/>
                <w:iCs/>
                <w:szCs w:val="28"/>
              </w:rPr>
              <w:t>ступенів №24 імені О.Білаша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Барматова І.В. – представник ГО “Асоціація приватних закладів освіти м. Києва”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Івнєєв Б.Б. – ректор ПВНЗ “Київського медичного університету”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Щербань Т.Д. – директор департаменту юридичного та кадрового забезпечення ПВНЗ “Київського медичного університету”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Константінова О.Б. – начальник юридичного відділу  КП “Житлоінвестбуд –УКБ”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Грибов І.В. – заступник директора Київської середньої спеціалізованої музичної школи інтернату імені М.В.Лисенка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Побережний Д.О.  – ФОП Побережний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Посвістак М.Г. – перший заступник генерального директора ТОВ ТМО “Ліко-Холдінг”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Мельниченко М.М. – спеціаліст Департаменту будівництва ти житлового забезпечення заступника начальника управління будівництва та координації роботи комунальних підприємств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Сторощук С.В. – представники місцевої ініціативи “Теремки -2”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Бобер Г.А – представники місцевої ініціативи  “Теремки -2”</w:t>
            </w:r>
          </w:p>
          <w:p>
            <w:pPr>
              <w:pStyle w:val="Normal"/>
              <w:ind w:hanging="0"/>
              <w:rPr/>
            </w:pPr>
            <w:r>
              <w:rPr>
                <w:bCs/>
                <w:iCs/>
                <w:szCs w:val="28"/>
              </w:rPr>
              <w:t>Семенова А. – представники місцевої ініціативи “Теремки-2</w:t>
            </w:r>
            <w:bookmarkStart w:id="0" w:name="_GoBack"/>
            <w:bookmarkEnd w:id="0"/>
            <w:r>
              <w:rPr>
                <w:bCs/>
                <w:iCs/>
                <w:szCs w:val="28"/>
              </w:rPr>
              <w:t>”</w:t>
            </w:r>
          </w:p>
          <w:p>
            <w:pPr>
              <w:pStyle w:val="Normal"/>
              <w:ind w:hanging="0"/>
              <w:rPr>
                <w:rStyle w:val="Style12"/>
                <w:color w:val="00000A"/>
                <w:szCs w:val="28"/>
                <w:u w:val="none"/>
              </w:rPr>
            </w:pPr>
            <w:r>
              <w:rPr>
                <w:color w:val="00000A"/>
                <w:szCs w:val="28"/>
                <w:u w:val="none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bookmarkStart w:id="1" w:name="__DdeLink__830_818516737"/>
      <w:bookmarkEnd w:id="1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  <w:highlight w:val="white"/>
        </w:rPr>
        <w:t xml:space="preserve">1. </w:t>
      </w:r>
      <w:r>
        <w:rPr>
          <w:rFonts w:eastAsia="Calibri"/>
          <w:iCs/>
          <w:color w:val="000000"/>
          <w:szCs w:val="28"/>
        </w:rPr>
        <w:t xml:space="preserve">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Голосіївській, 12 у Голосіївському районі м. Києва” (справа А-24937)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№08/231-1405/ПР від 25.04.2018)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60-а у Шевченківському районі м. Києва” (справа А-24153)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№08/231-1315/ПР від 19.04.2018)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</w:t>
        <w:br/>
        <w:t xml:space="preserve">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м. Києва” (справа А-23970)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№08/231-1401/ПР від 25.04.2018)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 надання школі І-ІІІ ступенів № 212 Деснянського району міста Києва земельної ділянки для експлуатації та обслуговування навчального закладу на вул. Академіка Курчатова, 18/2 у Деснянському районі м. Києва” (справа А-24788)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№08/231-1404/ПР від 25.04.2018) (доп. Департамент земельних ресурсів, управління освіти Деснянської 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cпеціалізованій школі І-ІІІ ступенів № 307 з поглибленим вивченням природничих наук Деснянського району міста Києва земельної ділянки для експлуатації та обслуговування навчального закладу на вул. Лісківській, 4-б у Деснянському районі м. Києва” (справа А-24789)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№08/231-1403/ПР від 25.04.2018)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6.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 надання школі І-ІІІ ступенів №119 Деснянського району міста Києва земельної ділянки для експлуатації та обслуговування навчального закладу на вул. Миколи Закревського, 15-б у Деснянському районі м. Києва” (справа А-23605)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№08/231-1311/ПР від 18.04.2018)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19-а у Деснянському районі м. Києва” (справа А-24793)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№08/231-1203/ПР від 12.03.2018)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8.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14б у Дніпровському районі м. Києва” (справа А-24848)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№08/231-1202/ПР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5а у Дніпровському районі м. Києва” (справа А-24819)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№08/231-1204/ПР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 у Дніпровському районі м. Києва” (справа А-24823)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№08/231-1205/ПР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34 у Дніпровському районі м. Києва” (справа А-24851)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№08/231-1206/ПР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20-а у Дніпровському районі м. Києва” (справа А-24843)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№08/231-1207/ПР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5 у Дніпровському районі м. Києва” (справа А-24830)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№08/231-1208/ПР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9/1 у Дніпровському районі м. Києва” (справа А-24822)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№08/231-1209/ПР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38-б у Дніпровському районі м. Києва” (справа А-24850)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№08/231-1210/ПР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Митрополита Андрея Шептицького, 24-б у Дніпровському районі м. Києва” (справа А-24829)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№08/231-1211/ПР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</w:t>
      </w:r>
      <w:r>
        <w:rPr>
          <w:rFonts w:eastAsia="Calibri"/>
          <w:iCs/>
          <w:color w:val="000000"/>
          <w:szCs w:val="28"/>
          <w:lang w:val="en-US"/>
        </w:rPr>
        <w:t>7</w:t>
      </w:r>
      <w:r>
        <w:rPr>
          <w:rFonts w:eastAsia="Calibri"/>
          <w:iCs/>
          <w:color w:val="000000"/>
          <w:szCs w:val="28"/>
        </w:rPr>
        <w:t>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1/5 у Дніпровському районі м. Києва” (справа А-24826)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№08/231-1212/ПР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17-а Дніпровському районі м. Києва” </w:t>
      </w:r>
      <w:r>
        <w:rPr>
          <w:rFonts w:eastAsia="Calibri"/>
          <w:iCs/>
          <w:color w:val="000000"/>
          <w:szCs w:val="28"/>
        </w:rPr>
        <w:t>(справа</w:t>
      </w:r>
      <w:r>
        <w:rPr>
          <w:rFonts w:eastAsia="Calibri"/>
          <w:iCs/>
          <w:color w:val="000000"/>
          <w:szCs w:val="28"/>
        </w:rPr>
        <w:t xml:space="preserve"> А-24846)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№08/231-1213/ПР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19.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Курнатовського, 4в у Дніпровському районі м. Києва” (справа А-24840)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№08/231-1214/ПР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3 у Дніпровському районі м. Києва” (справа А-24828)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№08/231-1215/ПР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32 у Дніпровському районі м. Києва” (справа А-24852)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№08/231-1216/ПР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9б у Дніпровському районі м. Києва” (справа А-24838)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№08/231-1300/ПР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12в у Дніпровському районі м. Києва” (справа А-24821)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№08/231-1301/ПР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Сулеймана Стальського, 26-а у Дніпровському районі м. Києва” (справа А-24854)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№08/231-1302/ПР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73 у Дніпровському районі м. Києва” (справа А-24832)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№08/231-1303/ПР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Амвросія Бучми, 6/1 у Дніпровському районі м. Києва” (справа А-24845)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№08/231-1304/ПР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9-а у Дніпровському районі м. Києва” (справа А-24831)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№08/231-1313/ПР від 19.04.2018)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10а у Дніпровському районі м. Києва” (справа А-24820)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№08/231-1314/ПР від 19.04.2018)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присвоєння імені Мігеля де Сервантеса Сааведри навчально-виховному комплексу (спеціалізована школа І ступеня з поглибленим вивченням іспанської мови – суспільно-гуманітарна гімназія) № 176 у Дніпровському районі міста Києва)”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№08/231-1288/ПР від 17.04.2018) (доп. Резніков О.Ю.).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оренди” (вул. Саксаганського/Толстого, 107/47 літ. А)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№08/231-1299/ПР від 19.04.2018) (доп. Департамент комунальної власності, ПВНЗ  “Київський медичний університет”).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>31. Про повторний розгляд проекту рішення 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№08/231-159/ПР від 23.01.2018) (доп. Голосіївська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>32.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№08/231-1050/ПР від 29.03.2018) (доп. Департамент комунальної власності, управління освіти Печерської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  <w:lang w:val="en-US"/>
        </w:rPr>
        <w:t xml:space="preserve"> </w:t>
      </w:r>
      <w:r>
        <w:rPr>
          <w:rFonts w:eastAsia="Calibri"/>
          <w:iCs/>
          <w:color w:val="000000"/>
          <w:szCs w:val="28"/>
        </w:rPr>
        <w:t>33. Про повторний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>“Про особливості конкурсного надання в оренду майна територіальної громади міста Києва з метою розміщення приватних закладів освіти”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№08/231-1154ПР від 05.04.2018) (звіт підготовчої групи)(доп.  Шульга Н.І.).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34.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35. Про хід виконання плану-графіку проведення реконструкції фізкультурно-спортивного комплексу на вул. Райдужна, 33-А у Дніпровському районі міста Києва</w:t>
      </w:r>
      <w:r>
        <w:rPr>
          <w:rFonts w:eastAsia="Calibri"/>
          <w:iCs/>
          <w:color w:val="000000"/>
          <w:szCs w:val="28"/>
          <w:lang w:val="ru-RU"/>
        </w:rPr>
        <w:t xml:space="preserve"> </w:t>
      </w:r>
      <w:r>
        <w:rPr>
          <w:rFonts w:eastAsia="Calibri"/>
          <w:i/>
          <w:iCs/>
          <w:color w:val="000000"/>
          <w:szCs w:val="28"/>
        </w:rPr>
        <w:t>(доп. Васильчук В.В., управління молоді та спорту ДОМС).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36. Про звернення депутата Київської міської ради В.Васильчука щодо завищеної вартості будівництва закладів освіти </w:t>
      </w:r>
      <w:r>
        <w:rPr>
          <w:rFonts w:eastAsia="Calibri"/>
          <w:i/>
          <w:iCs/>
          <w:color w:val="000000"/>
          <w:szCs w:val="28"/>
        </w:rPr>
        <w:t>(доп. Васильчук В.В., Департамент будівництва та житлового забезпечення, КП “Житлоінвестбуд-УКБ”).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>37.  Про звернення депутата Київської міської ради В.Васильчука 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Fonts w:eastAsia="Calibri"/>
          <w:bCs/>
          <w:iCs/>
          <w:color w:val="000000"/>
          <w:szCs w:val="28"/>
        </w:rPr>
        <w:t xml:space="preserve"> проведення реконструкцій</w:t>
      </w:r>
      <w:r>
        <w:rPr>
          <w:rFonts w:eastAsia="Calibri"/>
          <w:iCs/>
          <w:color w:val="000000"/>
          <w:szCs w:val="28"/>
        </w:rPr>
        <w:t xml:space="preserve"> стадіону Спеціалізованої школи №120 по вул. Райдужна, 17-Б та спортивного майданчика на бульв. Перова, 23 у Дніпровському районі м. Києва</w:t>
      </w:r>
      <w:r>
        <w:rPr>
          <w:rFonts w:eastAsia="Calibri"/>
          <w:i/>
          <w:iCs/>
          <w:color w:val="000000"/>
          <w:szCs w:val="28"/>
        </w:rPr>
        <w:t xml:space="preserve"> (доп. Васильчук В.В.).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38. Про хід виконання робіт з будівництва (реконструкції) футбольних полів із штучним покриттям по місту Києву </w:t>
      </w:r>
      <w:r>
        <w:rPr>
          <w:rFonts w:eastAsia="Calibri"/>
          <w:i/>
          <w:iCs/>
          <w:color w:val="000000"/>
          <w:szCs w:val="28"/>
        </w:rPr>
        <w:t>(доп. КП “Житло-сервіс”).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39.  Про звернення дирекції Київської середньої спеціалізованої музичної школи-інтернату імені М.В. Лисенка щодо притягнення до відповідальності ТОВ “ПОНТЕМ,УА” за систематичне порушення якості надання послуг їдалень (послуги організованого гарячого харчування) </w:t>
      </w:r>
      <w:r>
        <w:rPr>
          <w:rFonts w:eastAsia="Calibri"/>
          <w:i/>
          <w:iCs/>
          <w:color w:val="000000"/>
          <w:szCs w:val="28"/>
        </w:rPr>
        <w:t>(доп. заявники, Департамент культури, управління культури Шевченківської РДА,ТОВ).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40. Про звернення ГО “НАРКОНОН” щодо участі у проекті “Майбутнє дітей України, вільне від наркотиків!” </w:t>
      </w:r>
      <w:r>
        <w:rPr>
          <w:rFonts w:eastAsia="Calibri"/>
          <w:i/>
          <w:iCs/>
          <w:color w:val="000000"/>
          <w:szCs w:val="28"/>
        </w:rPr>
        <w:t>(доп. ГО).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  <w:lang w:val="en-US"/>
        </w:rPr>
        <w:t>41</w:t>
      </w:r>
      <w:r>
        <w:rPr>
          <w:rFonts w:eastAsia="Calibri"/>
          <w:iCs/>
          <w:color w:val="000000"/>
          <w:szCs w:val="28"/>
        </w:rPr>
        <w:t>. Різне.</w:t>
      </w:r>
    </w:p>
    <w:p>
      <w:pPr>
        <w:pStyle w:val="Normal"/>
        <w:ind w:firstLine="567"/>
        <w:rPr>
          <w:rFonts w:eastAsia="Calibri"/>
          <w:iCs/>
          <w:color w:val="000000"/>
          <w:szCs w:val="28"/>
        </w:rPr>
      </w:pPr>
      <w:r>
        <w:rPr/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bCs/>
          <w:color w:val="000000"/>
          <w:sz w:val="28"/>
          <w:szCs w:val="28"/>
          <w:u w:val="none"/>
          <w:lang w:val="uk-UA"/>
        </w:rPr>
        <w:t>Старостенко Г.В.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- голову комісії щодо прийняття за основу порядку денного із 41 питання засідання постійної комісії Київської міської ради з питань освіти, науки, молоді та спорту від </w:t>
      </w:r>
      <w:bookmarkStart w:id="2" w:name="__DdeLink__2949_292882795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08.05.</w:t>
      </w:r>
      <w:bookmarkEnd w:id="2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41 питання засідання постійної комісії Київської міської ради з питань освіти, науки, молоді та спорту від 08.05.2018.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 голосували - 1.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suppressAutoHyphens w:val="false"/>
        <w:ind w:hanging="0"/>
        <w:jc w:val="center"/>
        <w:textAlignment w:val="baseline"/>
        <w:rPr>
          <w:b/>
          <w:b/>
          <w:sz w:val="27"/>
          <w:szCs w:val="27"/>
          <w:highlight w:val="white"/>
        </w:rPr>
      </w:pPr>
      <w:r>
        <w:rPr>
          <w:b/>
          <w:sz w:val="27"/>
          <w:szCs w:val="27"/>
          <w:highlight w:val="white"/>
        </w:rPr>
      </w:r>
    </w:p>
    <w:p>
      <w:pPr>
        <w:pStyle w:val="Normal"/>
        <w:ind w:firstLine="850"/>
        <w:jc w:val="center"/>
        <w:rPr>
          <w:rStyle w:val="Style12"/>
          <w:rFonts w:eastAsia="Calibri"/>
          <w:b/>
          <w:b/>
          <w:bCs/>
          <w:szCs w:val="28"/>
        </w:rPr>
      </w:pPr>
      <w:r>
        <w:rPr>
          <w:rFonts w:eastAsia="Calibri"/>
          <w:b/>
          <w:bCs/>
          <w:szCs w:val="28"/>
        </w:rPr>
      </w:r>
    </w:p>
    <w:p>
      <w:pPr>
        <w:pStyle w:val="Normal"/>
        <w:suppressAutoHyphens w:val="false"/>
        <w:ind w:hanging="0"/>
        <w:jc w:val="center"/>
        <w:textAlignment w:val="baseline"/>
        <w:rPr>
          <w:rFonts w:eastAsia="Calibri"/>
          <w:b/>
          <w:b/>
          <w:color w:val="FF0000"/>
          <w:sz w:val="27"/>
          <w:szCs w:val="27"/>
        </w:rPr>
      </w:pPr>
      <w:r>
        <w:rPr>
          <w:rFonts w:eastAsia="Calibri"/>
          <w:b/>
          <w:color w:val="000000"/>
          <w:sz w:val="27"/>
          <w:szCs w:val="27"/>
        </w:rPr>
        <w:t xml:space="preserve">ПОРЯДОК ДЕННИЙ </w:t>
      </w:r>
    </w:p>
    <w:p>
      <w:pPr>
        <w:pStyle w:val="Normal"/>
        <w:suppressAutoHyphens w:val="false"/>
        <w:ind w:hanging="0"/>
        <w:jc w:val="center"/>
        <w:textAlignment w:val="baseline"/>
        <w:rPr>
          <w:color w:val="000000"/>
        </w:rPr>
      </w:pPr>
      <w:r>
        <w:rPr>
          <w:rFonts w:eastAsia="Calibri"/>
          <w:b/>
          <w:color w:val="000000"/>
          <w:sz w:val="27"/>
          <w:szCs w:val="27"/>
        </w:rPr>
        <w:t>зі змінами:</w:t>
      </w:r>
    </w:p>
    <w:p>
      <w:pPr>
        <w:pStyle w:val="Normal"/>
        <w:suppressAutoHyphens w:val="false"/>
        <w:ind w:hanging="0"/>
        <w:textAlignment w:val="baseline"/>
        <w:rPr>
          <w:rFonts w:eastAsia="Calibri"/>
          <w:iCs/>
          <w:color w:val="FF0000"/>
          <w:szCs w:val="28"/>
        </w:rPr>
      </w:pPr>
      <w:r>
        <w:rPr>
          <w:rFonts w:eastAsia="Calibri"/>
          <w:iCs/>
          <w:color w:val="FF0000"/>
          <w:szCs w:val="28"/>
        </w:rPr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  <w:lang w:val="en-US"/>
        </w:rPr>
        <w:t xml:space="preserve"> </w:t>
      </w:r>
      <w:r>
        <w:rPr>
          <w:rFonts w:eastAsia="Calibri"/>
          <w:color w:val="000000"/>
          <w:szCs w:val="28"/>
          <w:highlight w:val="white"/>
          <w:lang w:val="en-US"/>
        </w:rPr>
        <w:t>1</w:t>
      </w:r>
      <w:r>
        <w:rPr>
          <w:rFonts w:eastAsia="Calibri"/>
          <w:color w:val="000000"/>
          <w:szCs w:val="28"/>
          <w:highlight w:val="white"/>
        </w:rPr>
        <w:t>. Про повторний розгляд проекту рішення Київської міської ради  “Про особливості конкурсного надання в оренду майна територіальної громади міста Києва з метою розміщення приватних закладів освіти”  (</w:t>
      </w:r>
      <w:r>
        <w:rPr>
          <w:rFonts w:eastAsia="Calibri"/>
          <w:i/>
          <w:iCs/>
          <w:color w:val="000000"/>
          <w:szCs w:val="28"/>
          <w:highlight w:val="white"/>
        </w:rPr>
        <w:t>доручення заступника міського голови-секретаря Київської міської ради Прокопіва В.В. №08/231-1154ПР від 05.04.2018)</w:t>
      </w:r>
      <w:r>
        <w:rPr>
          <w:rFonts w:eastAsia="Calibri"/>
          <w:color w:val="000000"/>
          <w:szCs w:val="28"/>
          <w:highlight w:val="white"/>
        </w:rPr>
        <w:t xml:space="preserve"> </w:t>
      </w:r>
      <w:r>
        <w:rPr>
          <w:rFonts w:eastAsia="Calibri"/>
          <w:i/>
          <w:iCs/>
          <w:color w:val="000000"/>
          <w:szCs w:val="28"/>
          <w:highlight w:val="white"/>
        </w:rPr>
        <w:t>(звіт підготовчої групи)(доп.  Шульга Н.І.).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2. Про повторний розгляд проекту рішення 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Трутенко, Васильківська Голосіївського району м. Києва”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№08/231-159/ПР від 23.01.2018) (доп. Голосіївська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3. Про хід виконання плану-графіку проведення реконструкції фізкультурно-спортивного комплексу на вул. Райдужна, 33-А у Дніпровському районі міста Києва</w:t>
      </w:r>
      <w:r>
        <w:rPr>
          <w:rFonts w:eastAsia="Calibri"/>
          <w:color w:val="000000"/>
          <w:szCs w:val="28"/>
          <w:highlight w:val="white"/>
          <w:lang w:val="ru-RU"/>
        </w:rPr>
        <w:t xml:space="preserve"> </w:t>
      </w:r>
      <w:r>
        <w:rPr>
          <w:rFonts w:eastAsia="Calibri"/>
          <w:i/>
          <w:iCs/>
          <w:color w:val="000000"/>
          <w:szCs w:val="28"/>
          <w:highlight w:val="white"/>
        </w:rPr>
        <w:t>(доп. Васильчук В.В., управління молоді та спорту ДОМС).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 xml:space="preserve">4. Про звернення депутата Київської міської ради В.Васильчука щодо завищеної вартості будівництва закладів освіти </w:t>
      </w:r>
      <w:r>
        <w:rPr>
          <w:rFonts w:eastAsia="Calibri"/>
          <w:i/>
          <w:iCs/>
          <w:color w:val="000000"/>
          <w:szCs w:val="28"/>
          <w:highlight w:val="white"/>
        </w:rPr>
        <w:t>(доп. Васильчук В.В., Департамент будівництва та житлового забезпечення, КП “Житлоінвестбуд-УКБ”).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 xml:space="preserve">5. Про хід виконання робіт з будівництва (реконструкції) футбольних полів із штучним покриттям по місту Києву </w:t>
      </w:r>
      <w:r>
        <w:rPr>
          <w:rFonts w:eastAsia="Calibri"/>
          <w:i/>
          <w:iCs/>
          <w:color w:val="000000"/>
          <w:szCs w:val="28"/>
          <w:highlight w:val="white"/>
        </w:rPr>
        <w:t>(доп. КП “Житло-сервіс”).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  <w:highlight w:val="white"/>
        </w:rPr>
        <w:t xml:space="preserve">6. </w:t>
      </w:r>
      <w:r>
        <w:rPr>
          <w:rFonts w:eastAsia="Calibri"/>
          <w:iCs/>
          <w:color w:val="000000"/>
          <w:szCs w:val="28"/>
        </w:rPr>
        <w:t xml:space="preserve">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Голосіївській, 12 у Голосіївському районі м. Києва” (справа А-24937)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№08/231-1405/ПР від 25.04.2018)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60-а у Шевченківському районі м. Києва” (справа А-24153)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№08/231-1315/ПР від 19.04.2018)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</w:t>
        <w:br/>
        <w:t xml:space="preserve">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м. Києва” (справа А-23970)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№08/231-1401/ПР від 25.04.2018) (доп. Департамент земельних ресурсів, управління освіти Шевченківської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 надання школі І-ІІІ ступенів № 212 Деснянського району міста Києва земельної ділянки для експлуатації та обслуговування навчального закладу на вул. Академіка Курчатова, 18/2 у Деснянському районі м. Києва” (справа А-24788)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№08/231-1404/ПР від 25.04.2018) 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cпеціалізованій школі І-ІІІ ступенів № 307 з поглибленим вивченням природничих наук Деснянського району міста Києва земельної ділянки для експлуатації та обслуговування навчального закладу на вул. Лісківській, 4-б у Деснянському районі м. Києва” (справа А-24789)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№08/231-1403/ПР від 25.04.2018)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11.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 надання школі І-ІІІ ступенів №119 Деснянського району міста Києва земельної ділянки для експлуатації та обслуговування навчального закладу на вул. Миколи Закревського, 15-б у Деснянському районі м. Києва” (справа А-23605)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№08/231-1311/ПР від 18.04.2018)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19-а у Деснянському районі м. Києва” (справа А-24793)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№08/231-1203/ПР від 12.03.2018)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</w:rPr>
        <w:t>13.</w:t>
      </w:r>
      <w:r>
        <w:rPr>
          <w:rFonts w:eastAsia="Calibri"/>
          <w:iCs/>
          <w:color w:val="000000"/>
          <w:szCs w:val="28"/>
        </w:rPr>
        <w:t xml:space="preserve">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14б у Дніпровському районі м. Києва” (справа А-24848)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№08/231-1202/ПР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5а у Дніпровському районі м. Києва” (справа А-24819)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№08/231-1204/ПР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 у Дніпровському районі м. Києва” (справа А-24823)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№08/231-1205/ПР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34 у Дніпровському районі м. Києва” (справа А-24851)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№08/231-1206/ПР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20-а у Дніпровському районі м. Києва” (справа А-24843)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№08/231-1207/ПР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5 у Дніпровському районі м. Києва” (справа А-24830)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№08/231-1208/ПР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19.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9/1 у Дніпровському районі м. Києва” (справа А-24822)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№08/231-1209/ПР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38-б у Дніпровському районі м. Києва” (справа А-24850)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№08/231-1210/ПР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Митрополита Андрея Шептицького, 24-б у Дніпровському районі м. Києва” (справа А-24829)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№08/231-1211/ПР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22. 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1/5 у Дніпровському районі м. Києва” (справа А-24826)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№08/231-1212/ПР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17-а Дніпровському районі м. Києва” (справа А-24846)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№08/231-1213/ПР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Курнатовського, 4в у Дніпровському районі м. Києва” (справа А-24840) 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№08/231-1214/ПР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3 у Дніпровському районі м. Києва” (справа А-24828)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№08/231-1215/ПР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32 у Дніпровському районі м. Києва” (справа А-24852)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№08/231-1216/ПР від 12.04.2018)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9б у Дніпровському районі м. Києва” (справа А-24838)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№08/231-1300/ПР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12в у Дніпровському районі м. Києва” (справа А-24821)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№08/231-1301/ПР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29.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Сулеймана Стальського, 26-а у Дніпровському районі м. Києва” (справа А-24854)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№08/231-1302/ПР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73 у Дніпровському районі м. Києва” (справа А-24832)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№08/231-1303/ПР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Амвросія Бучми, 6/1 у Дніпровському районі м. Києва” (справа А-24845)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№08/231-1304/ПР від 18.04.2018)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9-а у Дніпровському районі м. Києва” (справа А-24831)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№08/231-1313/ПР від 19.04.2018)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33.</w:t>
      </w:r>
      <w:r>
        <w:rPr>
          <w:rStyle w:val="Style12"/>
          <w:rFonts w:eastAsia="Calibri"/>
          <w:iCs/>
          <w:color w:val="000000"/>
          <w:szCs w:val="28"/>
          <w:highlight w:val="white"/>
          <w:u w:val="none"/>
        </w:rPr>
        <w:t xml:space="preserve">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10а у Дніпровському районі м. Києва” (справа А-24820)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№08/231-1314/ПР від 19.04.2018)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 xml:space="preserve">Про присвоєння імені Мігеля де Сервантеса Сааведри навчально-виховному комплексу (спеціалізована школа І ступеня з поглибленим вивченням іспанської мови – суспільно-гуманітарна гімназія) № 176 у Дніпровському районі міста Києва)”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№08/231-1288/ПР від 17.04.2018) (доп. Резніков О.Ю.).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</w:rPr>
        <w:t>35. Про розгляд проекту рішення Київської міської ради “Про передачу в оренду нежитлових приміщень комунальної власності територіальної громади міста Києва єдиному претенденту на право оренди (вул. Саксаганського/Толстого, 107/47 літ. А)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№08/231-1299/ПР від 19.04.2018) (доп. Департамент комунальної власності, ПВНЗ  «Київський медичний університет»).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 xml:space="preserve">36. Про розгляд проекту рішення Київської міської ради “Про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</w:t>
      </w:r>
      <w:r>
        <w:rPr>
          <w:rFonts w:eastAsia="Calibri"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№08/231-1050/ПР від 29.03.2018) (доп. Департамент комунальної власності, управління освіти Печерської РДА).</w:t>
      </w:r>
    </w:p>
    <w:p>
      <w:pPr>
        <w:pStyle w:val="Normal"/>
        <w:ind w:firstLine="567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37.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38.  Про звернення депутата Київської міської ради В.Васильчука 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Fonts w:eastAsia="Calibri"/>
          <w:bCs/>
          <w:iCs/>
          <w:color w:val="000000"/>
          <w:szCs w:val="28"/>
        </w:rPr>
        <w:t xml:space="preserve"> проведення реконструкцій</w:t>
      </w:r>
      <w:r>
        <w:rPr>
          <w:rFonts w:eastAsia="Calibri"/>
          <w:iCs/>
          <w:color w:val="000000"/>
          <w:szCs w:val="28"/>
        </w:rPr>
        <w:t xml:space="preserve"> стадіону Спеціалізованої школи №120 по вул. Райдужна, 17-Б та спортивного майданчика на бульв. Перова, 23 у Дніпровському районі м. Києва</w:t>
      </w:r>
      <w:r>
        <w:rPr>
          <w:rFonts w:eastAsia="Calibri"/>
          <w:i/>
          <w:iCs/>
          <w:color w:val="000000"/>
          <w:szCs w:val="28"/>
        </w:rPr>
        <w:t xml:space="preserve"> (доп. Васильчук В.В.).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39.  Про звернення дирекції Київської середньої спеціалізованої музичної школи-інтернату імені М.В. Лисенка щодо притягнення до відповідальності ТОВ “ПОНТЕМ,УА” за систематичне порушення якості надання послуг їдалень (послуги організованого гарячого харчування) </w:t>
      </w:r>
      <w:r>
        <w:rPr>
          <w:rFonts w:eastAsia="Calibri"/>
          <w:i/>
          <w:iCs/>
          <w:color w:val="000000"/>
          <w:szCs w:val="28"/>
        </w:rPr>
        <w:t>(доп. заявники, Департамент культури, управління культури Шевченківської РДА,ТОВ).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 xml:space="preserve">40. Про звернення ГО “НАРКОНОН” щодо участі у проекті “Майбутнє дітей України, вільне від наркотиків!” </w:t>
      </w:r>
      <w:r>
        <w:rPr>
          <w:rFonts w:eastAsia="Calibri"/>
          <w:i/>
          <w:iCs/>
          <w:color w:val="000000"/>
          <w:szCs w:val="28"/>
        </w:rPr>
        <w:t>(доп. ГО).</w:t>
      </w:r>
    </w:p>
    <w:p>
      <w:pPr>
        <w:pStyle w:val="Normal"/>
        <w:suppressAutoHyphens w:val="false"/>
        <w:ind w:firstLine="567"/>
        <w:textAlignment w:val="baseline"/>
        <w:rPr>
          <w:rStyle w:val="Style12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в цілому  порядку денного із 40 питань засідання постійної комісії Київської міської ради з питань освіти, науки, молоді та спорту від 08</w:t>
      </w:r>
      <w:bookmarkStart w:id="3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.05.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 із змінами черговості питань порядку денного питаннями.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в цілому порядок денний із 40 питань засідання постійної комісії Київської міської ради з питань освіти, науки, молоді та спорту від 08.05.2018.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-1.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Spacing"/>
        <w:suppressAutoHyphens w:val="false"/>
        <w:ind w:firstLine="510"/>
        <w:jc w:val="both"/>
        <w:textAlignment w:val="baseline"/>
        <w:rPr>
          <w:rStyle w:val="Style12"/>
          <w:rFonts w:ascii="Times New Roman" w:hAnsi="Times New Roman" w:eastAsia="Calibri"/>
          <w:b/>
          <w:b/>
          <w:bCs/>
          <w:i/>
          <w:i/>
          <w:sz w:val="28"/>
          <w:szCs w:val="28"/>
          <w:highlight w:val="white"/>
          <w:lang w:val="uk-UA"/>
        </w:rPr>
      </w:pPr>
      <w:r>
        <w:rPr/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68" w:type="dxa"/>
        <w:jc w:val="left"/>
        <w:tblInd w:w="-35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04"/>
        <w:gridCol w:w="7963"/>
      </w:tblGrid>
      <w:tr>
        <w:trPr>
          <w:trHeight w:val="60" w:hRule="atLeast"/>
        </w:trPr>
        <w:tc>
          <w:tcPr>
            <w:tcW w:w="2104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4" w:name="__DdeLink__3142_2816617589"/>
            <w:bookmarkStart w:id="5" w:name="__DdeLink__3142_2816617589"/>
            <w:bookmarkEnd w:id="5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6" w:name="__DdeLink__3142_281661758922"/>
            <w:bookmarkStart w:id="7" w:name="__DdeLink__3142_281661758923"/>
            <w:bookmarkStart w:id="8" w:name="__DdeLink__3142_281661758925"/>
            <w:bookmarkStart w:id="9" w:name="__DdeLink__3142_281661758921"/>
            <w:bookmarkEnd w:id="6"/>
            <w:bookmarkEnd w:id="7"/>
            <w:bookmarkEnd w:id="8"/>
            <w:bookmarkEnd w:id="9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33.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34.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35.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36.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6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“Про особливості конкурсного надання в оренду майна територіальної громади міста Києва з метою розміщення приватних закладів освіти”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(доручення заступника міського голови-секретаря Київської міської ради Прокопіва В.В. №08/231-1154ПР від 05.04.2018)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left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Звіт підготовчої групи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ind w:left="0" w:right="0" w:firstLine="283"/>
              <w:jc w:val="left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2) Підтримати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особливості конкурсного надання в оренду майна територіальної громади міста Києва з метою розміщення приватних закладів освіти” з правками, а саме: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tbl>
            <w:tblPr>
              <w:tblW w:w="7873" w:type="dxa"/>
              <w:jc w:val="left"/>
              <w:tblInd w:w="0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48" w:type="dxa"/>
                <w:bottom w:w="55" w:type="dxa"/>
                <w:right w:w="55" w:type="dxa"/>
              </w:tblCellMar>
              <w:tblLook w:firstRow="1" w:noVBand="1" w:lastRow="0" w:firstColumn="1" w:lastColumn="0" w:noHBand="0" w:val="04a0"/>
            </w:tblPr>
            <w:tblGrid>
              <w:gridCol w:w="3936"/>
              <w:gridCol w:w="3936"/>
            </w:tblGrid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Style24"/>
                    <w:ind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Існуюча редакція проекту рішення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Style2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Правки до проекту рішення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Normal"/>
                    <w:ind w:hanging="0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Порядок надання в оренду майна територіальної громади міста Києва з метою розміщення приватних </w:t>
                  </w:r>
                  <w:r>
                    <w:rPr>
                      <w:i/>
                      <w:color w:val="000000"/>
                      <w:sz w:val="24"/>
                      <w:szCs w:val="24"/>
                    </w:rPr>
                    <w:t>навчальних закладів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Normal"/>
                    <w:suppressLineNumbers/>
                    <w:ind w:left="57" w:hanging="0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Порядок надання в оренду майна територіальної громади міста Києва з метою розміщення приватних </w:t>
                  </w:r>
                  <w:r>
                    <w:rPr>
                      <w:b/>
                      <w:sz w:val="24"/>
                      <w:szCs w:val="24"/>
                    </w:rPr>
                    <w:t>заклади освіти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ind w:left="57" w:firstLine="22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 Приміщення, яке може бути включене до Переліку, повинно відповідати наступним критеріям: </w:t>
                  </w:r>
                </w:p>
                <w:p>
                  <w:pPr>
                    <w:pStyle w:val="ListParagraph"/>
                    <w:ind w:left="57" w:firstLine="22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площа приміщення становить </w:t>
                  </w:r>
                  <w:r>
                    <w:rPr>
                      <w:i/>
                      <w:sz w:val="24"/>
                      <w:szCs w:val="24"/>
                    </w:rPr>
                    <w:t>одну тисячу квадратних метрів</w:t>
                  </w:r>
                  <w:r>
                    <w:rPr>
                      <w:sz w:val="24"/>
                      <w:szCs w:val="24"/>
                    </w:rPr>
                    <w:t xml:space="preserve"> і більше; 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ind w:left="57" w:firstLine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 Приміщення, яке може бути включене до Переліку, повинно відповідати наступним критеріям: </w:t>
                  </w:r>
                </w:p>
                <w:p>
                  <w:pPr>
                    <w:pStyle w:val="ListParagraph"/>
                    <w:suppressLineNumbers/>
                    <w:ind w:left="57" w:firstLine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площа приміщення становить </w:t>
                  </w:r>
                  <w:r>
                    <w:rPr>
                      <w:b/>
                      <w:sz w:val="24"/>
                      <w:szCs w:val="24"/>
                    </w:rPr>
                    <w:t>двісті квадратних метрів</w:t>
                  </w:r>
                  <w:r>
                    <w:rPr>
                      <w:sz w:val="24"/>
                      <w:szCs w:val="24"/>
                    </w:rPr>
                    <w:t xml:space="preserve"> і більше; 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ind w:left="57" w:firstLine="28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 Перелік затверджується із зазначенням:</w:t>
                  </w:r>
                </w:p>
                <w:p>
                  <w:pPr>
                    <w:pStyle w:val="Normal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…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(г) мінімальної </w:t>
                  </w:r>
                  <w:r>
                    <w:rPr>
                      <w:i/>
                      <w:sz w:val="24"/>
                      <w:szCs w:val="24"/>
                    </w:rPr>
                    <w:t xml:space="preserve">кількості місць </w:t>
                  </w:r>
                  <w:r>
                    <w:rPr>
                      <w:sz w:val="24"/>
                      <w:szCs w:val="24"/>
                    </w:rPr>
                    <w:t>по наданню відповідних освітніх</w:t>
                  </w:r>
                  <w:r>
                    <w:rPr>
                      <w:i/>
                      <w:sz w:val="24"/>
                      <w:szCs w:val="24"/>
                    </w:rPr>
                    <w:t xml:space="preserve"> послуг</w:t>
                  </w:r>
                  <w:r>
                    <w:rPr>
                      <w:sz w:val="24"/>
                      <w:szCs w:val="24"/>
                    </w:rPr>
                    <w:t xml:space="preserve"> в рамках здійснення зазначеної освітньої діяльності. 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ind w:left="57" w:firstLine="11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 Перелік затверджується із зазначенням:</w:t>
                  </w:r>
                </w:p>
                <w:p>
                  <w:pPr>
                    <w:pStyle w:val="Normal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…</w:t>
                  </w:r>
                </w:p>
                <w:p>
                  <w:pPr>
                    <w:pStyle w:val="Normal"/>
                    <w:suppressLineNumber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(г) мінімальної </w:t>
                  </w:r>
                  <w:r>
                    <w:rPr>
                      <w:b/>
                      <w:sz w:val="24"/>
                      <w:szCs w:val="24"/>
                    </w:rPr>
                    <w:t>кількості навчальних місць</w:t>
                  </w:r>
                  <w:r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по наданню відповідних освітніх послуг в рамках здійснення зазначеної освітньої діяльності.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ind w:left="57" w:firstLine="22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9. Стартовий розмір орендної плати визначається орендодавцем </w:t>
                  </w:r>
                  <w:r>
                    <w:rPr>
                      <w:i/>
                      <w:sz w:val="24"/>
                      <w:szCs w:val="24"/>
                    </w:rPr>
                    <w:t>згідно з пунктом 42 Таблиці 2 Методики розрахунку орендної плати за майно територіальної громади міста Києва, яке передається в оренду, затвердженої рішенням Київської міської ради від 21.04.2015 № 415/1280</w:t>
                  </w:r>
                  <w:r>
                    <w:rPr>
                      <w:sz w:val="24"/>
                      <w:szCs w:val="24"/>
                    </w:rPr>
                    <w:t xml:space="preserve"> на підставі звіту про оцінку приміщення, виготовленого незалежним оцінювачем на замовлення балансоутримувача приміщення, включеного до Переліку, і позитивного висновку рецензента. 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suppressLineNumbers/>
                    <w:tabs>
                      <w:tab w:val="left" w:pos="0" w:leader="none"/>
                    </w:tabs>
                    <w:ind w:left="0" w:firstLine="34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9. Стартовий розмір орендної плати визначається орендодавцем </w:t>
                  </w:r>
                  <w:r>
                    <w:rPr>
                      <w:b/>
                      <w:sz w:val="24"/>
                      <w:szCs w:val="24"/>
                    </w:rPr>
                    <w:t>в один відсоток (1%) від оцінки майна</w:t>
                  </w:r>
                  <w:r>
                    <w:rPr>
                      <w:sz w:val="24"/>
                      <w:szCs w:val="24"/>
                    </w:rPr>
                    <w:t xml:space="preserve"> на підставі звіту про оцінку приміщення, виготовленого незалежним оцінювачем на замовлення балансоутримувача приміщення, включеного до Переліку, і позитивного висновку рецензента. 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Normal"/>
                    <w:jc w:val="center"/>
                    <w:rPr>
                      <w:b/>
                      <w:b/>
                      <w:i/>
                      <w:i/>
                      <w:color w:val="000000"/>
                      <w:szCs w:val="28"/>
                    </w:rPr>
                  </w:pPr>
                  <w:r>
                    <w:rPr>
                      <w:b/>
                      <w:i/>
                      <w:color w:val="000000"/>
                      <w:szCs w:val="28"/>
                    </w:rPr>
                    <w:t xml:space="preserve">Порядок конкурсного територіальної громади розміщення приватних </w:t>
                  </w:r>
                </w:p>
                <w:p>
                  <w:pPr>
                    <w:pStyle w:val="Normal"/>
                    <w:ind w:hanging="0"/>
                    <w:jc w:val="center"/>
                    <w:rPr>
                      <w:b/>
                      <w:b/>
                      <w:i/>
                      <w:i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i/>
                      <w:color w:val="000000"/>
                      <w:sz w:val="16"/>
                      <w:szCs w:val="16"/>
                    </w:rPr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Normal"/>
                    <w:ind w:hanging="0"/>
                    <w:rPr>
                      <w:b/>
                      <w:b/>
                      <w:i/>
                      <w:i/>
                      <w:color w:val="000000"/>
                      <w:szCs w:val="28"/>
                    </w:rPr>
                  </w:pPr>
                  <w:r>
                    <w:rPr>
                      <w:b/>
                      <w:i/>
                      <w:color w:val="000000"/>
                      <w:szCs w:val="28"/>
                    </w:rPr>
                    <w:t>надання в оренду майна</w:t>
                  </w:r>
                </w:p>
                <w:p>
                  <w:pPr>
                    <w:pStyle w:val="Normal"/>
                    <w:ind w:hanging="0"/>
                    <w:rPr>
                      <w:b/>
                      <w:b/>
                      <w:i/>
                      <w:i/>
                      <w:color w:val="000000"/>
                      <w:szCs w:val="28"/>
                    </w:rPr>
                  </w:pPr>
                  <w:r>
                    <w:rPr>
                      <w:b/>
                      <w:i/>
                      <w:color w:val="000000"/>
                      <w:szCs w:val="28"/>
                    </w:rPr>
                    <w:t>міста Києва з метою</w:t>
                  </w:r>
                </w:p>
                <w:p>
                  <w:pPr>
                    <w:pStyle w:val="Normal"/>
                    <w:ind w:hanging="0"/>
                    <w:rPr>
                      <w:b/>
                      <w:b/>
                      <w:i/>
                      <w:i/>
                      <w:color w:val="000000"/>
                      <w:szCs w:val="28"/>
                    </w:rPr>
                  </w:pPr>
                  <w:r>
                    <w:rPr>
                      <w:b/>
                      <w:i/>
                      <w:color w:val="000000"/>
                      <w:szCs w:val="28"/>
                    </w:rPr>
                    <w:t>навчальних закладів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tabs>
                      <w:tab w:val="left" w:pos="0" w:leader="none"/>
                      <w:tab w:val="left" w:pos="709" w:leader="none"/>
                      <w:tab w:val="left" w:pos="993" w:leader="none"/>
                    </w:tabs>
                    <w:ind w:left="0" w:firstLine="227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1. Об'єкти комунальної власності, включені до переліку, затвердженого рішенням Київської міської ради, передаються в оренду терміном на 25 років для цілей розміщення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суб’єктів </w:t>
                  </w:r>
                  <w:r>
                    <w:rPr>
                      <w:i/>
                      <w:color w:val="000000"/>
                      <w:sz w:val="24"/>
                      <w:szCs w:val="24"/>
                    </w:rPr>
                    <w:t>підприємницької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діяльності, які надають освітні послуги </w:t>
                  </w:r>
                  <w:r>
                    <w:rPr>
                      <w:sz w:val="24"/>
                      <w:szCs w:val="24"/>
                    </w:rPr>
                    <w:t xml:space="preserve">за результатами проведення конкурсу з урахуванням положень цього Порядку. 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suppressLineNumbers/>
                    <w:tabs>
                      <w:tab w:val="left" w:pos="709" w:leader="none"/>
                      <w:tab w:val="left" w:pos="993" w:leader="none"/>
                    </w:tabs>
                    <w:ind w:left="0" w:hanging="0"/>
                    <w:rPr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1.Об'єкти комунальної власності, включені до переліку, затвердженого рішенням Київської міської ради, передаються в оренду терміном на 25 років для цілей розміщення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суб’єктів 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освітньої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діяльності, які надають освітні послуги </w:t>
                  </w:r>
                  <w:r>
                    <w:rPr>
                      <w:sz w:val="24"/>
                      <w:szCs w:val="24"/>
                    </w:rPr>
                    <w:t xml:space="preserve">за результатами проведення конкурсу з урахуванням положень цього Порядку. </w:t>
                  </w:r>
                </w:p>
              </w:tc>
            </w:tr>
            <w:tr>
              <w:trPr/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numPr>
                      <w:ilvl w:val="1"/>
                      <w:numId w:val="1"/>
                    </w:numPr>
                    <w:tabs>
                      <w:tab w:val="left" w:pos="0" w:leader="none"/>
                    </w:tabs>
                    <w:ind w:left="0" w:firstLine="28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Надання освітніх послуг по реалізації програми дошкільної та/або загальної середньої освіти </w:t>
                  </w:r>
                  <w:r>
                    <w:rPr>
                      <w:i/>
                      <w:sz w:val="24"/>
                      <w:szCs w:val="24"/>
                    </w:rPr>
                    <w:t>вихованцям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кваліфікованого приватного навчального закладу</w:t>
                  </w:r>
                  <w:r>
                    <w:rPr>
                      <w:sz w:val="24"/>
                      <w:szCs w:val="24"/>
                    </w:rPr>
                    <w:t xml:space="preserve"> в кількості не менше мінімальної кількості </w:t>
                  </w:r>
                  <w:r>
                    <w:rPr>
                      <w:i/>
                      <w:sz w:val="24"/>
                      <w:szCs w:val="24"/>
                    </w:rPr>
                    <w:t>місць</w:t>
                  </w:r>
                  <w:r>
                    <w:rPr>
                      <w:sz w:val="24"/>
                      <w:szCs w:val="24"/>
                    </w:rPr>
                    <w:t>, зазначеного в рішенні Київської міської ради.</w:t>
                  </w:r>
                </w:p>
              </w:tc>
              <w:tc>
                <w:tcPr>
                  <w:tcW w:w="393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color="auto" w:fill="auto" w:val="clear"/>
                  <w:tcMar>
                    <w:left w:w="48" w:type="dxa"/>
                  </w:tcMar>
                </w:tcPr>
                <w:p>
                  <w:pPr>
                    <w:pStyle w:val="ListParagraph"/>
                    <w:suppressLineNumbers/>
                    <w:tabs>
                      <w:tab w:val="left" w:pos="0" w:leader="none"/>
                    </w:tabs>
                    <w:ind w:lef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2.1. Надання освітніх послуг по реалізації програми дошкільної та/або загальної середньої освіти </w:t>
                  </w:r>
                  <w:r>
                    <w:rPr>
                      <w:b/>
                      <w:sz w:val="24"/>
                      <w:szCs w:val="24"/>
                    </w:rPr>
                    <w:t>вихованцям та/або учням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кваліфікованого приватного навчального закладу</w:t>
                  </w:r>
                  <w:r>
                    <w:rPr>
                      <w:sz w:val="24"/>
                      <w:szCs w:val="24"/>
                    </w:rPr>
                    <w:t xml:space="preserve"> в кількості не менше мінімальної кількості </w:t>
                  </w:r>
                  <w:r>
                    <w:rPr>
                      <w:b/>
                      <w:sz w:val="24"/>
                      <w:szCs w:val="24"/>
                    </w:rPr>
                    <w:t>навчальних місць</w:t>
                  </w:r>
                  <w:r>
                    <w:rPr>
                      <w:sz w:val="24"/>
                      <w:szCs w:val="24"/>
                    </w:rPr>
                    <w:t>, зазначеного в рішенні Київської міської ради.</w:t>
                  </w:r>
                </w:p>
              </w:tc>
            </w:tr>
          </w:tbl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повторний розгляд проекту рішення 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Трутенка, Васильківська Голосіївського району м. Києва”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u w:val="none"/>
                <w:lang w:eastAsia="ru-RU"/>
              </w:rPr>
              <w:t>(доручення заступника міського голови-секретаря Київської міської ради Прокопіва В.В. №08/231-159/ПР від 23.01.2018).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Бобер Г., Семенова Е., Шульга Н.І., Васильчук В.В., Мосійчук Ю.А., Поствістак, Гонсаров О.В., Фіданян О.Г., Шмуляр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Звернутися до заступника голови Київської міської державної адміністрації  О.Спасібка з проханням прискорити розробку ДПТ Голосіївського району міста Києва в частині розташування закладів освіти.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2) Звернутися до власників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ТОВ “Аркада”, Київський Національний Університет імені Т.Шевченка, ТОВ “Ліко-Холдінг” з пропозицією щодо можливої оплатної передачі закладів освіти, а саме: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- заклад дошкільної освіти №32 на вул. Глушкова,6 (забудовник ТОВ “Аркада”);</w:t>
            </w:r>
          </w:p>
          <w:p>
            <w:pPr>
              <w:pStyle w:val="ListParagraph"/>
              <w:widowControl w:val="false"/>
              <w:ind w:left="0" w:hanging="0"/>
              <w:rPr/>
            </w:pPr>
            <w:r>
              <w:rPr>
                <w:szCs w:val="28"/>
              </w:rPr>
              <w:t xml:space="preserve">   </w:t>
            </w:r>
            <w:r>
              <w:rPr>
                <w:szCs w:val="28"/>
              </w:rPr>
              <w:t>- заклад дошкільної освіти №38 на вул. Глушкова, 2-А (власник Київський Національний Університет імені Т.Шевченка);</w:t>
            </w:r>
          </w:p>
          <w:p>
            <w:pPr>
              <w:pStyle w:val="ListParagraph"/>
              <w:widowControl w:val="false"/>
              <w:ind w:left="0" w:hanging="0"/>
              <w:rPr/>
            </w:pPr>
            <w:r>
              <w:rPr>
                <w:szCs w:val="28"/>
              </w:rPr>
              <w:t xml:space="preserve">     </w:t>
            </w:r>
            <w:r>
              <w:rPr>
                <w:szCs w:val="28"/>
              </w:rPr>
              <w:t>- заклад освіти (початкова школа) “Ліко Школа” на вул. Конєва, 7Б (власник ТОВ “Ліко-Холдінг”;</w:t>
            </w:r>
          </w:p>
          <w:p>
            <w:pPr>
              <w:pStyle w:val="ListParagraph"/>
              <w:widowControl w:val="false"/>
              <w:ind w:left="57" w:hanging="0"/>
              <w:rPr/>
            </w:pPr>
            <w:r>
              <w:rPr>
                <w:szCs w:val="28"/>
              </w:rPr>
              <w:t xml:space="preserve">    </w:t>
            </w:r>
            <w:r>
              <w:rPr>
                <w:szCs w:val="28"/>
              </w:rPr>
              <w:t>- заклад дошкільної освіти “Ліко-Світ” на вул. Вільямса, 11, корпус 2 (власник ТОВ “Ліко-Холдінг”);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 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- заклад дошкільної освіти “Ліко-Світ Венеція” на вул. Конєва, 12А (власник ТОВ “Ліко-Холдінг”).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3) Створити робочу групу по доопрацюванню проекту рішення Київської міської ради “Про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Глушкова, Касіяна, Якубовського, Вільямса, Трутенка, Васильківська Голосіївського району м. Києва” на чолі з депутатом Київської міської ради 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Гутцайта В.М.- заступника директора-начальника управління молоді та спорту Департаменту освіти і науки, молоді та спорту п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ро хід виконання плану-графіку проведення реконструкції фізкультурно-спортивного комплексу на вул. Райдужна, 33-А у Дніпровському районі міста Києва.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Інформацію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2) Доручити Управлінню молоді та спорту  Департаменту освіти і науки, молоді та спорту надати детальну довідку про загальну кошторисну вартість реконструкції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фізкультурно-спортивного комплексу на вул. Райдужна, 33-А у Дніпровському районі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Васильчука В.В. - депутата Київської міської ради щодо 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завищеної вартості будівництва закладів освіти.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Константінова О.Б., Васильчук В.В., 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Інформацію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2) КП “Житлоінвестбуд-УКБ” надати детальний кошторис будівництва закладу загальної середньої освіти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у 10 мікрорайоні житлового масиву “Осокорки”, діл. 65,66 Дарницького району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 xml:space="preserve">3) Провести засідання із залученням заступника голови Київської міської державної адміністрації О.Спасібка, Департаменту містобудування та архітектури, Департаментом будівництва та житлового забезпечення, Департаменту освіти і науки, молоді та спорту та депутатів Київської міської ради щодо визначення пріоритетності будівництва закладів освіти міста Києва.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Бовсуновського С.В. - директора КП з експлуатації і ремонту Житло-сервіс” про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 хід виконання робіт з будівництва (реконструкції) футбольних полів із штучним покриттям по місту Києву.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Бовсуновський С.В., Фіданян О.Г., Васильчук В.В., Гончаров О.В., Шульга Н.І., Мельнікова О.О.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highlight w:val="yellow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Інформацію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2) КП з експлуатації і ремонту “Житло-сервіс”  надати  кошторис, експертизні висновки, графік виконання робіт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none"/>
                <w:lang w:eastAsia="ru-RU"/>
              </w:rPr>
              <w:t>(реконструкції) футбольних полів із штучним покриттям по місту Києву  по кожному об'єкту.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3) КП з експлуатації і ремонту “Житло-сервіс” розглянути можливість зміни графіку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(реконструкції) футбольних полів із штучним покриттям по місту Києву, а саме, після Деснянського району перейти до Дніпровського та Дарницького районів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bookmarkStart w:id="10" w:name="__DdeLink__5316_1260026044"/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4)  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Департаменту освіти і науки, молоді та спорту в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иконавчо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го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 органу Київської міської ради (КМДА) 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  <w:lang w:eastAsia="ru-RU"/>
              </w:rPr>
              <w:t>завчасно</w:t>
            </w:r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 xml:space="preserve"> </w:t>
            </w:r>
            <w:bookmarkEnd w:id="10"/>
            <w:r>
              <w:rPr>
                <w:rStyle w:val="Style12"/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  <w:t>надати перелік об'єктів з реконструкції  футбольних полів із штучним покриттям по місту Києву на 2019 рік.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Style w:val="Style12"/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highlight w:val="white"/>
                <w:u w:val="none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Голосіївській, 12 у Голосіївському районі м. Києва” (справа А-24937)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№08/231-1405/ПР від 25.04.2018).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Голосіївській, 12 у Голосіївському районі м. Києва” (справа А-24937)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60-а у Шевченківському районі м. Києва" (справа А-24153)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(доручення заступника міського голови-секретаря Київської міської ради Прокопіва В.В. №08/231-1315/ПР від 19.04.2018).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60-а у Шевченківському районі м. Києва (справа А-24153)”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м. Києва” (справа А-23970)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№08/231-1401/ПР від 25.04.2018).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“Про </w:t>
              <w:br/>
              <w:t>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Олени Теліги, 15-а у Шевченківському районі м. Києва” (справа А-23970)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школі І-ІІІ ступенів № 212 Деснянського району міста Києва земельної ділянки для експлуатації та обслуговування навчального закладу на вул. Академіка Курчатова, 18/2 у Деснянському районі м. Києва” (справа А-24788)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№08/231-1404/ПР від 25.04.2018).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“Про </w:t>
              <w:br/>
              <w:t>надання школі І-ІІІ ступенів № 212 Деснянського району міста Києва земельної ділянки для експлуатації та обслуговування навчального закладу на вул. Академіка Курчатова, 18/2 у Деснянському районі м. Києва” (справа А-24788)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cпеціалізованій школі І-ІІІ ступенів № 307 з поглибленим вивченням природничих наук Деснянського району міста Києва земельної ділянки для експлуатації та обслуговування навчального закладу на вул. Лісківській, 4-б у Деснянському районі м. Києва” (справа А-24789)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№08/231-1403/ПР від 25.04.2018).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 надання спеціалізованій школі І-ІІІ ступенів № 307 з поглибленим вивченням природничих наук Деснянського району міста Києва земельної ділянки для експлуатації та обслуговування навчального закладу на вул. Лісківській, 4-б у Деснянському районі м. Києва” (справа А-24789)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школі І-ІІІ ступенів №119 Деснянського району міста Києва земельної ділянки для експлуатації та обслуговування навчального закладу на вул. Миколи Закревського, 15-б у Деснянському районі м. Києва” (справа А-23605)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№08/231-1311/ПР від 18.04.2018).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 надання школі І-ІІІ ступенів №119 Деснянського району міста Києва земельної ділянки для експлуатації та обслуговування навчального закладу на вул. Миколи Закревського, 15-б у Деснянському районі м. Києва” (справа А-23605)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19-а у Деснянському районі м. Києва” (справа А-24793)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№08/231-1203/ПР від 12.03.2018).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singl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singl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19-а у Деснянському районі м. Києва” (справа А-24793)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14б у Дніпровському районі м. Києва” (справа А-24848)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№08/231-1202/ПР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14б у Дніпровському районі м. Києва (справа А-24848)”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5а у Дніпровському районі м. Києва” (справа А-24819)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№08/231-1204/ПР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Миру, 5а у Дніпровському районі м. Києва” (справа А-24819)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 у Дніпровському районі м. Києва” (справа А-24823)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доручення заступника міського голови-секретаря Київської міської ради Прокопіва В.В. №08/231-1205/ПР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1 у Дніпровському районі м. Києва” (справа А-24823)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34 у Дніпровському районі м. Києва” (справа А-24851)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№08/231-1206/ПР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34 у Дніпровському районі м. Києва” (справа А-24851)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20-а у Дніпровському районі м. Києва” (справа А-24843)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№08/231-1207/ПР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Юрія Гагаріна, 20-а у Дніпровському районі м. Києва” (справа А-24843)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5 у Дніпровському районі м. Києва” (справа А-24830)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№08/231-1208/ПР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5 у Дніпровському районі м. Києва” (справа А-24830)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9/1 у Дніпровському районі м. Києва” (справа А-24822)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№08/231-1209/ПР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9/1 у Дніпровському районі м. Києва” (справа А-24822)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38-б у Дніпровському районі м. Києва” (справа А-24850)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№08/231-1210/ПР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38-б у Дніпровському районі м. Києва” (справа А-24850)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Митрополита Андрея Шептицького, 24-б у Дніпровському районі м. Києва” (справа А-24829)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№08/231-1211/ПР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Митрополита Андрея Шептицького, 24-б у Дніпровському районі м. Києва” (справа А-24829)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1/5 у Дніпровському районі м. Києва” (справа А-24826)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№08/231-1212/ПР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1/5 у Дніпровському районі м. Києва” (справа А-24826)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 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17-а Дніпровському районі м. Києва” (справа А-24846)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№08/231-1213/ПР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Ігоря Шамо, 17-а Дніпровському районі м. Києва” (справа А-24846)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Курнатовського, 4в у Дніпровському районі м. Києва” (справа А-24840)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(доручення заступника міського голови-секретаря Київської міської ради Прокопіва В.В. №08/231-1214/ПР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Курнатовського, 4в у Дніпровському районі м. Києва” (справа А-24840)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За – 5, проти – немає, утрималось – немає, не голосували – немає. 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3 у Дніпровському районі м. Києва” (справа А-24828)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№08/231-1215/ПР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бульв. Перова, 3 у Дніпровському районі м. Києва” (справа А-24828)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32 у Дніпровському районі м. Києва” (справа А-24852)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№08/231-1216/ПР від 12.04.2018).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Березняківській, 32 у Дніпровському районі м. Києва” (справа А-24852)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9б у Дніпровському районі м. Києва” (справа А-24838)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№08/231-1300/ПР від 18.04.2018).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9б у Дніпровському районі м. Києва” (справа А-24838)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12в у Дніпровському районі м. Києва” (справа А-24821)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№08/231-1301/ПР від 18.04.2018).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12в у Дніпровському районі м. Києва” (справа А-24821)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Сулеймана Стальського, 26-а у Дніпровському районі м. Києва” (справа А-24854)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№08/231-1302/ПР від 18.04.2018).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Сулеймана Стальського, 26-а у Дніпровському районі м. Києва” (справа А-24854)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73 у Дніпровському районі м. Києва” (справа А-24832)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№08/231-1303/ПР від 18.04.2018).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Райдужній, 73 у Дніпровському районі м. Києва” (справа А-24832)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Амвросія Бучми, 6/1 у Дніпровському районі м. Києва” (справа А-24845)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222222"/>
                <w:szCs w:val="28"/>
                <w:highlight w:val="white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№08/231-1304/ПР від 18.04.2018).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Амвросія Бучми, 6/1 у Дніпровському районі м. Києва” (справа А-24845)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9-а у Дніпровському районі м. Києва” (справа А-24831)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№08/231-1313/ПР від 19.04.2018).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Челябінській, 9-а у Дніпровському районі м. Києва” (справа А-24831)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10а у Дніпровському районі м. Києва” (справа А-24820)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№08/231-1314/ПР від 19.04.2018).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Соборності, 10а у Дніпровському районі м. Києва” (справа А-24820)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 присвоєння імені Мігеля де Сервантеса Сааведри навчально-виховному комплексу (спеціалізована школа І ступеня з поглибленим вивченням іспанської мови – суспільно-гуманітарна гімназія) № 176 у Дніпровському районі міста Києва)”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№08/231-1288/ПР від 17.04.2018).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highlight w:val="white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 присвоєння імені Мігеля де Сервантеса Сааведри навчально-виховному комплексу (спеціалізована школа І ступеня з поглибленим вивченням іспанської мови – суспільно-гуманітарна гімназія) № 176 у Дніпровському районі міста Києва)”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5,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color w:val="000000"/>
                <w:szCs w:val="28"/>
                <w:lang w:eastAsia="ru-RU"/>
              </w:rPr>
              <w:t>Шмуляра О.В. - заступника директора Департаменту комунальної власності м.Києва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який поінформував про проект рішення Київської міської ради “Про  передачу в оренду нежитлових приміщень комунальної власності територіальної громади міста Києва єдиному претенденту на право оренди (вул. Саксаганського/Толстого, 107/47 літ. А)”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№08/231-1299/ПР від 19.04.2018).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Старостенко Г.В., Гончаров О.В., Васильчук В.В., Шмуляр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 передачу в оренду нежитлових приміщень комунальної власності територіальної громади міста Києва єдиному претенденту на право оренди (вул. Саксаганського/Толстого, 107/47 літ. А)”  за умови погодження цього проекту рішення постійною комісією Київської міської ради з питань охорони здоров’я та соціального захисту.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1, не голосували – немає.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/>
                <w:color w:val="000000"/>
                <w:szCs w:val="28"/>
                <w:highlight w:val="white"/>
                <w:lang w:eastAsia="ru-RU"/>
              </w:rPr>
              <w:t xml:space="preserve">Старостенко Г.В. - голову комісії, яка поінформувала про  проект рішення Київської міської ради “Про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</w:t>
            </w:r>
            <w:r>
              <w:rPr>
                <w:rFonts w:eastAsia="Calibri"/>
                <w:i/>
                <w:iCs/>
                <w:color w:val="000000"/>
                <w:szCs w:val="28"/>
                <w:highlight w:val="white"/>
                <w:lang w:eastAsia="ru-RU"/>
              </w:rPr>
              <w:t>(доручення заступника міського голови-секретаря Київської міської ради Прокопіва В.В. №08/231-1050/ПР від 29.03.2018)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Побережний  О., Копил Т.В.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Fonts w:eastAsia="Calibri"/>
                <w:color w:val="000000"/>
                <w:szCs w:val="28"/>
                <w:highlight w:val="white"/>
                <w:lang w:eastAsia="ru-RU"/>
              </w:rPr>
              <w:t>“Про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У зв'язку з відсутністю кворуму, питання, які не були розглянуті переносяться на наступне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szCs w:val="28"/>
                <w:lang w:eastAsia="ru-RU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комісії                                                                          Н.Шульг</w:t>
            </w:r>
            <w:bookmarkStart w:id="11" w:name="__UnoMark__4851_1942424965"/>
            <w:bookmarkEnd w:id="11"/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а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04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63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7"/>
    <w:qFormat/>
    <w:pPr>
      <w:outlineLvl w:val="1"/>
    </w:pPr>
    <w:rPr/>
  </w:style>
  <w:style w:type="paragraph" w:styleId="5">
    <w:name w:val="Heading 5"/>
    <w:basedOn w:val="Style17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7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7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7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7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7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7">
    <w:name w:val="Subtitle"/>
    <w:basedOn w:val="Style17"/>
    <w:qFormat/>
    <w:pPr>
      <w:spacing w:before="60" w:after="120"/>
      <w:jc w:val="center"/>
    </w:pPr>
    <w:rPr>
      <w:sz w:val="36"/>
      <w:szCs w:val="36"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9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numbering" w:styleId="WW8Num7" w:customStyle="1">
    <w:name w:val="WW8Num7"/>
    <w:qFormat/>
  </w:style>
  <w:style w:type="numbering" w:styleId="WW8Num6" w:customStyle="1">
    <w:name w:val="WW8Num6"/>
    <w:qFormat/>
  </w:style>
  <w:style w:type="numbering" w:styleId="WW8Num8" w:customStyle="1">
    <w:name w:val="WW8Num8"/>
    <w:qFormat/>
  </w:style>
  <w:style w:type="numbering" w:styleId="WW8Num15" w:customStyle="1">
    <w:name w:val="WW8Num15"/>
    <w:qFormat/>
  </w:style>
  <w:style w:type="numbering" w:styleId="WW8Num14" w:customStyle="1">
    <w:name w:val="WW8Num14"/>
    <w:qFormat/>
  </w:style>
  <w:style w:type="numbering" w:styleId="WW8Num9" w:customStyle="1">
    <w:name w:val="WW8Num9"/>
    <w:qFormat/>
  </w:style>
  <w:style w:type="numbering" w:styleId="WW8Num4" w:customStyle="1">
    <w:name w:val="WW8Num4"/>
    <w:qFormat/>
  </w:style>
  <w:style w:type="numbering" w:styleId="WW8Num13" w:customStyle="1">
    <w:name w:val="WW8Num13"/>
    <w:qFormat/>
  </w:style>
  <w:style w:type="numbering" w:styleId="WW8Num5" w:customStyle="1">
    <w:name w:val="WW8Num5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10237</TotalTime>
  <Application>LibreOffice/5.3.7.2$Windows_X86_64 LibreOffice_project/6b8ed514a9f8b44d37a1b96673cbbdd077e24059</Application>
  <Pages>32</Pages>
  <Words>9470</Words>
  <Characters>67380</Characters>
  <CharactersWithSpaces>77228</CharactersWithSpaces>
  <Paragraphs>412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2018-05-15T13:19:06Z</cp:lastPrinted>
  <dcterms:modified xsi:type="dcterms:W3CDTF">2018-05-15T15:19:39Z</dcterms:modified>
  <cp:revision>494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