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w:t>
      </w:r>
      <w:r>
        <w:rPr>
          <w:b/>
          <w:sz w:val="28"/>
          <w:szCs w:val="28"/>
        </w:rPr>
        <w:t>8</w:t>
      </w:r>
    </w:p>
    <w:p>
      <w:pPr>
        <w:pStyle w:val="Normal"/>
        <w:ind w:hanging="0"/>
        <w:jc w:val="center"/>
        <w:rPr>
          <w:szCs w:val="28"/>
        </w:rPr>
      </w:pPr>
      <w:r>
        <w:rPr>
          <w:sz w:val="28"/>
          <w:szCs w:val="28"/>
        </w:rPr>
        <w:t>позачергового засідання постійної комісії Київської міської ради</w:t>
      </w:r>
    </w:p>
    <w:p>
      <w:pPr>
        <w:pStyle w:val="Normal"/>
        <w:jc w:val="center"/>
        <w:rPr>
          <w:b/>
          <w:b/>
          <w:szCs w:val="28"/>
        </w:rPr>
      </w:pPr>
      <w:r>
        <w:rPr>
          <w:sz w:val="28"/>
          <w:szCs w:val="28"/>
        </w:rPr>
        <w:t xml:space="preserve">з питань освіти, науки, сім'ї, молоді та спорту  </w:t>
      </w:r>
    </w:p>
    <w:p>
      <w:pPr>
        <w:pStyle w:val="Normal"/>
        <w:rPr>
          <w:b/>
          <w:b/>
          <w:szCs w:val="28"/>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18.05</w:t>
      </w:r>
      <w:r>
        <w:rPr>
          <w:b/>
          <w:bCs/>
          <w:sz w:val="28"/>
          <w:szCs w:val="28"/>
          <w:lang w:val="uk-UA"/>
        </w:rPr>
        <w:t>.2017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t xml:space="preserve"> </w:t>
            </w:r>
          </w:p>
          <w:p>
            <w:pPr>
              <w:pStyle w:val="Normal"/>
              <w:ind w:hanging="0"/>
              <w:rPr>
                <w:sz w:val="28"/>
                <w:szCs w:val="28"/>
                <w:lang w:val="uk-UA"/>
              </w:rPr>
            </w:pPr>
            <w:r>
              <w:rPr>
                <w:sz w:val="28"/>
                <w:szCs w:val="28"/>
                <w:lang w:val="uk-UA"/>
              </w:rPr>
              <w:t>Відсутні:</w:t>
            </w:r>
          </w:p>
        </w:tc>
        <w:tc>
          <w:tcPr>
            <w:tcW w:w="8146" w:type="dxa"/>
            <w:tcBorders/>
            <w:shd w:color="auto" w:fill="auto" w:val="clear"/>
          </w:tcPr>
          <w:p>
            <w:pPr>
              <w:pStyle w:val="Normal"/>
              <w:snapToGrid w:val="false"/>
              <w:ind w:hanging="0"/>
              <w:rPr/>
            </w:pPr>
            <w:r>
              <w:rPr>
                <w:sz w:val="28"/>
                <w:szCs w:val="28"/>
              </w:rPr>
              <w:t>Старостенко Г.В.– голова комісії, головуюча</w:t>
            </w:r>
          </w:p>
          <w:p>
            <w:pPr>
              <w:pStyle w:val="Normal"/>
              <w:snapToGrid w:val="false"/>
              <w:ind w:hanging="0"/>
              <w:rPr/>
            </w:pPr>
            <w:r>
              <w:rPr>
                <w:sz w:val="28"/>
                <w:szCs w:val="28"/>
              </w:rPr>
              <w:t>Паладій С.В.– заступник голови комісії</w:t>
            </w:r>
          </w:p>
          <w:p>
            <w:pPr>
              <w:pStyle w:val="Normal"/>
              <w:snapToGrid w:val="false"/>
              <w:ind w:hanging="0"/>
              <w:rPr>
                <w:sz w:val="28"/>
                <w:szCs w:val="28"/>
              </w:rPr>
            </w:pPr>
            <w:r>
              <w:rPr>
                <w:sz w:val="28"/>
                <w:szCs w:val="28"/>
              </w:rPr>
              <w:t>Шульга Н.І. -  секретар комісії</w:t>
            </w:r>
          </w:p>
          <w:p>
            <w:pPr>
              <w:pStyle w:val="Normal"/>
              <w:snapToGrid w:val="false"/>
              <w:ind w:hanging="0"/>
              <w:rPr>
                <w:sz w:val="28"/>
                <w:szCs w:val="28"/>
              </w:rPr>
            </w:pPr>
            <w:r>
              <w:rPr>
                <w:sz w:val="28"/>
                <w:szCs w:val="28"/>
              </w:rPr>
              <w:t>Васильчук В.В. - член комісії</w:t>
            </w:r>
          </w:p>
          <w:p>
            <w:pPr>
              <w:pStyle w:val="Normal"/>
              <w:snapToGrid w:val="false"/>
              <w:ind w:hanging="0"/>
              <w:rPr/>
            </w:pPr>
            <w:r>
              <w:rPr>
                <w:sz w:val="28"/>
                <w:szCs w:val="28"/>
              </w:rPr>
              <w:t>Гончаров О.В. - член комісії</w:t>
            </w:r>
          </w:p>
          <w:p>
            <w:pPr>
              <w:pStyle w:val="Normal"/>
              <w:ind w:hanging="0"/>
              <w:rPr>
                <w:sz w:val="28"/>
                <w:szCs w:val="28"/>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sz w:val="28"/>
                <w:szCs w:val="28"/>
              </w:rPr>
            </w:r>
          </w:p>
          <w:p>
            <w:pPr>
              <w:pStyle w:val="Normal"/>
              <w:snapToGrid w:val="false"/>
              <w:ind w:hanging="0"/>
              <w:rPr/>
            </w:pPr>
            <w:r>
              <w:rPr>
                <w:sz w:val="28"/>
                <w:szCs w:val="28"/>
              </w:rPr>
              <w:t>Стрижов Д.С. - член комісії</w:t>
            </w:r>
          </w:p>
        </w:tc>
      </w:tr>
      <w:tr>
        <w:trPr>
          <w:trHeight w:val="570" w:hRule="atLeast"/>
        </w:trPr>
        <w:tc>
          <w:tcPr>
            <w:tcW w:w="2068" w:type="dxa"/>
            <w:tcBorders/>
            <w:shd w:color="auto" w:fill="auto" w:val="clear"/>
          </w:tcPr>
          <w:p>
            <w:pPr>
              <w:pStyle w:val="Normal"/>
              <w:snapToGrid w:val="false"/>
              <w:ind w:hanging="0"/>
              <w:rPr>
                <w:sz w:val="27"/>
                <w:szCs w:val="27"/>
              </w:rPr>
            </w:pPr>
            <w:r>
              <w:rPr>
                <w:sz w:val="27"/>
                <w:szCs w:val="27"/>
              </w:rPr>
            </w:r>
          </w:p>
          <w:p>
            <w:pPr>
              <w:pStyle w:val="Normal"/>
              <w:snapToGrid w:val="false"/>
              <w:ind w:hanging="0"/>
              <w:rPr>
                <w:sz w:val="28"/>
                <w:szCs w:val="28"/>
              </w:rPr>
            </w:pPr>
            <w:r>
              <w:rPr>
                <w:sz w:val="28"/>
                <w:szCs w:val="28"/>
              </w:rPr>
              <w:t>Запрошені:</w:t>
            </w:r>
          </w:p>
        </w:tc>
        <w:tc>
          <w:tcPr>
            <w:tcW w:w="8146" w:type="dxa"/>
            <w:tcBorders/>
            <w:shd w:color="auto" w:fill="auto" w:val="clear"/>
          </w:tcPr>
          <w:p>
            <w:pPr>
              <w:pStyle w:val="Normal"/>
              <w:suppressLineNumbers/>
              <w:tabs>
                <w:tab w:val="left" w:pos="0" w:leader="none"/>
              </w:tabs>
              <w:snapToGrid w:val="false"/>
              <w:spacing w:lineRule="auto" w:line="240"/>
              <w:ind w:hanging="0"/>
              <w:rPr>
                <w:rStyle w:val="Style9"/>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suppressLineNumbers/>
              <w:tabs>
                <w:tab w:val="left" w:pos="0" w:leader="none"/>
              </w:tabs>
              <w:snapToGrid w:val="false"/>
              <w:spacing w:lineRule="auto" w:line="240"/>
              <w:ind w:hanging="0"/>
              <w:rPr>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Фіданян О.Г. - 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Біба Л.М. - начальник управління персоналу та правового забезпечення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Бондарчук О.В. - депутат Київської міської ради</w:t>
            </w:r>
          </w:p>
          <w:p>
            <w:pPr>
              <w:pStyle w:val="Normal"/>
              <w:suppressLineNumbers/>
              <w:tabs>
                <w:tab w:val="left" w:pos="0" w:leader="none"/>
              </w:tabs>
              <w:suppressAutoHyphens w:val="false"/>
              <w:snapToGrid w:val="false"/>
              <w:spacing w:lineRule="auto" w:line="240"/>
              <w:ind w:hanging="0"/>
              <w:rPr>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Коберник В.В. - помічник-консультант депутата Київської міської ради Шлапак А.В.</w:t>
            </w:r>
          </w:p>
          <w:p>
            <w:pPr>
              <w:pStyle w:val="Normal"/>
              <w:suppressLineNumbers/>
              <w:tabs>
                <w:tab w:val="left" w:pos="0" w:leader="none"/>
              </w:tabs>
              <w:snapToGrid w:val="false"/>
              <w:spacing w:lineRule="auto" w:line="240"/>
              <w:ind w:hanging="0"/>
              <w:rPr>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Дутка Р.О.-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помічник-консультант депутата Київської міської ради Бондарчука О.В.</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widowControl/>
        <w:suppressAutoHyphens w:val="true"/>
        <w:bidi w:val="0"/>
        <w:ind w:left="0" w:right="0" w:firstLine="567"/>
        <w:jc w:val="both"/>
        <w:rPr/>
      </w:pPr>
      <w:r>
        <w:rPr>
          <w:rFonts w:cs="Times New Roman"/>
          <w:b w:val="false"/>
          <w:bCs w:val="false"/>
          <w:i w:val="false"/>
          <w:iCs w:val="false"/>
          <w:caps w:val="false"/>
          <w:smallCaps w:val="false"/>
          <w:color w:val="000000"/>
          <w:spacing w:val="0"/>
          <w:sz w:val="28"/>
          <w:szCs w:val="28"/>
          <w:u w:val="none"/>
          <w:shd w:fill="FFFFFF" w:val="clear"/>
          <w:lang w:val="uk-UA" w:eastAsia="zh-CN" w:bidi="ar-SA"/>
        </w:rPr>
        <w:t xml:space="preserve">1. Повторний розгляд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проекту рішення Київської міської ради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№08/231-443 ПР від 20.02.2017).</w:t>
      </w:r>
    </w:p>
    <w:p>
      <w:pPr>
        <w:pStyle w:val="Style26"/>
        <w:widowControl/>
        <w:tabs>
          <w:tab w:val="left" w:pos="0" w:leader="none"/>
        </w:tabs>
        <w:suppressAutoHyphens w:val="true"/>
        <w:overflowPunct w:val="false"/>
        <w:bidi w:val="0"/>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Різне</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звернення депутата Київської міської ради В.Васильчука щодо включення до бюджету м.Києва коштів у сумі 2 млн.500 тис. грн на заходи національно-патріотичного та військово-патріотичного виховання дітей та молоді м. Києва в рамках відзнаки Року Української революції 1917-1921 років та Днем захисника України.</w:t>
      </w:r>
    </w:p>
    <w:p>
      <w:pPr>
        <w:pStyle w:val="Style26"/>
        <w:widowControl/>
        <w:tabs>
          <w:tab w:val="left" w:pos="0" w:leader="none"/>
        </w:tabs>
        <w:suppressAutoHyphens w:val="true"/>
        <w:overflowPunct w:val="false"/>
        <w:bidi w:val="0"/>
        <w:ind w:left="0" w:right="0" w:firstLine="567"/>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AutoHyphens w:val="true"/>
        <w:bidi w:val="0"/>
        <w:ind w:left="0" w:right="0" w:hanging="0"/>
        <w:jc w:val="both"/>
        <w:rPr>
          <w:color w:val="000000"/>
          <w:sz w:val="27"/>
          <w:szCs w:val="27"/>
        </w:rPr>
      </w:pPr>
      <w:r>
        <w:rPr>
          <w:color w:val="000000"/>
          <w:sz w:val="27"/>
          <w:szCs w:val="27"/>
        </w:rPr>
      </w:r>
    </w:p>
    <w:p>
      <w:pPr>
        <w:pStyle w:val="NoSpacing"/>
        <w:rPr/>
      </w:pPr>
      <w:r>
        <w:rPr>
          <w:rFonts w:cs="Times New Roman" w:ascii="Times New Roman" w:hAnsi="Times New Roman"/>
          <w:b/>
          <w:sz w:val="27"/>
          <w:szCs w:val="27"/>
          <w:lang w:val="uk-UA"/>
        </w:rPr>
        <w:t xml:space="preserve">                       </w:t>
      </w: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 xml:space="preserve">«за» - </w:t>
      </w:r>
      <w:r>
        <w:rPr>
          <w:rFonts w:cs="Times New Roman" w:ascii="Times New Roman" w:hAnsi="Times New Roman"/>
          <w:sz w:val="28"/>
          <w:szCs w:val="28"/>
          <w:lang w:val="uk-UA"/>
        </w:rPr>
        <w:t>5</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sz w:val="27"/>
          <w:szCs w:val="27"/>
        </w:rPr>
      </w:pPr>
      <w:r>
        <w:rPr>
          <w:sz w:val="28"/>
          <w:szCs w:val="28"/>
        </w:rPr>
        <w:t>«проти» - немає,</w:t>
      </w:r>
    </w:p>
    <w:p>
      <w:pPr>
        <w:pStyle w:val="Normal"/>
        <w:tabs>
          <w:tab w:val="left" w:pos="2295" w:leader="none"/>
          <w:tab w:val="left" w:pos="2385" w:leader="none"/>
          <w:tab w:val="left" w:pos="2805" w:leader="none"/>
        </w:tabs>
        <w:jc w:val="center"/>
        <w:rPr>
          <w:sz w:val="27"/>
          <w:szCs w:val="27"/>
        </w:rPr>
      </w:pPr>
      <w:r>
        <w:rPr>
          <w:sz w:val="28"/>
          <w:szCs w:val="28"/>
        </w:rPr>
        <w:t>«утрималось» - немає.</w:t>
      </w:r>
    </w:p>
    <w:p>
      <w:pPr>
        <w:pStyle w:val="Normal"/>
        <w:ind w:hanging="0"/>
        <w:jc w:val="center"/>
        <w:rPr>
          <w:sz w:val="28"/>
          <w:szCs w:val="28"/>
        </w:rPr>
      </w:pPr>
      <w:r>
        <w:rPr>
          <w:i/>
          <w:sz w:val="28"/>
          <w:szCs w:val="28"/>
        </w:rPr>
        <w:t xml:space="preserve">       </w:t>
      </w:r>
      <w:r>
        <w:rPr>
          <w:i/>
          <w:sz w:val="28"/>
          <w:szCs w:val="28"/>
        </w:rPr>
        <w:t>Рішення прийнято.</w:t>
      </w:r>
    </w:p>
    <w:p>
      <w:pPr>
        <w:pStyle w:val="Normal"/>
        <w:ind w:hanging="0"/>
        <w:jc w:val="center"/>
        <w:rPr>
          <w:b/>
          <w:b/>
          <w:sz w:val="27"/>
          <w:szCs w:val="27"/>
        </w:rPr>
      </w:pPr>
      <w:r>
        <w:rPr>
          <w:b/>
          <w:sz w:val="27"/>
          <w:szCs w:val="27"/>
        </w:rPr>
      </w:r>
    </w:p>
    <w:tbl>
      <w:tblPr>
        <w:tblW w:w="10098" w:type="dxa"/>
        <w:jc w:val="left"/>
        <w:tblInd w:w="-389" w:type="dxa"/>
        <w:tblBorders/>
        <w:tblCellMar>
          <w:top w:w="55" w:type="dxa"/>
          <w:left w:w="55" w:type="dxa"/>
          <w:bottom w:w="55" w:type="dxa"/>
          <w:right w:w="55" w:type="dxa"/>
        </w:tblCellMar>
        <w:tblLook w:val="0000"/>
      </w:tblPr>
      <w:tblGrid>
        <w:gridCol w:w="2159"/>
        <w:gridCol w:w="7938"/>
      </w:tblGrid>
      <w:tr>
        <w:trPr>
          <w:trHeight w:val="60" w:hRule="atLeast"/>
        </w:trPr>
        <w:tc>
          <w:tcPr>
            <w:tcW w:w="2159" w:type="dxa"/>
            <w:tcBorders/>
            <w:shd w:color="auto" w:fill="auto" w:val="clear"/>
          </w:tcPr>
          <w:p>
            <w:pPr>
              <w:pStyle w:val="Normal"/>
              <w:ind w:hanging="0"/>
              <w:rPr>
                <w:szCs w:val="28"/>
              </w:rPr>
            </w:pPr>
            <w:r>
              <w:rPr>
                <w:b/>
                <w:sz w:val="28"/>
                <w:szCs w:val="28"/>
                <w:lang w:val="uk-UA" w:bidi="ar-SA"/>
              </w:rPr>
              <w:t>1</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2. СЛУХАЛИ: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Голова</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bidi="ar-SA"/>
              </w:rPr>
            </w:pPr>
            <w:r>
              <w:rPr>
                <w:sz w:val="28"/>
                <w:szCs w:val="28"/>
                <w:lang w:val="uk-UA" w:bidi="ar-SA"/>
              </w:rPr>
              <w:t>Секретар</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tc>
        <w:tc>
          <w:tcPr>
            <w:tcW w:w="7938" w:type="dxa"/>
            <w:tcBorders/>
            <w:shd w:color="auto" w:fill="auto" w:val="clear"/>
          </w:tcPr>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яка поінформувала про пропозиції до проекту рішення</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до ІІ читання.</w:t>
            </w:r>
          </w:p>
          <w:p>
            <w:pPr>
              <w:pStyle w:val="Normal"/>
              <w:suppressLineNumbers/>
              <w:tabs>
                <w:tab w:val="left" w:pos="0" w:leader="none"/>
              </w:tabs>
              <w:suppressAutoHyphens w:val="false"/>
              <w:snapToGrid w:val="false"/>
              <w:spacing w:lineRule="auto" w:line="240"/>
              <w:ind w:hanging="0"/>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sz w:val="28"/>
                <w:szCs w:val="28"/>
                <w:lang w:val="uk-UA" w:bidi="ar-SA"/>
              </w:rPr>
              <w:t>Старостенко Г.В.,, Фіданян О.Г., Біба Л.М., Шульга Н.І., Гончаров О.В., Васильчук В.В., Бондарчук О.В., Коберник В.В., Дутка Р.О.</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ascii="Times New Roman CYR" w:hAnsi="Times New Roman CYR"/>
                <w:b/>
                <w:bCs/>
                <w:i w:val="false"/>
                <w:iCs w:val="false"/>
                <w:caps w:val="false"/>
                <w:smallCaps w:val="false"/>
                <w:color w:val="000000"/>
                <w:spacing w:val="0"/>
                <w:sz w:val="28"/>
                <w:szCs w:val="28"/>
                <w:highlight w:val="white"/>
                <w:u w:val="single"/>
                <w:shd w:fill="FFFFFF" w:val="clear"/>
                <w:lang w:val="uk-UA" w:eastAsia="zh-CN" w:bidi="ar-SA"/>
              </w:rPr>
              <w:t>1) Пункт 7 абзац 1</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ascii="Times New Roman CYR" w:hAnsi="Times New Roman CYR" w:eastAsia="Calibri" w:cs="Times New Roman"/>
                <w:b/>
                <w:b/>
                <w:bCs/>
                <w:i w:val="false"/>
                <w:i w:val="false"/>
                <w:iCs w:val="false"/>
                <w:caps w:val="false"/>
                <w:smallCaps w:val="false"/>
                <w:color w:val="000000"/>
                <w:spacing w:val="0"/>
                <w:sz w:val="28"/>
                <w:szCs w:val="28"/>
                <w:highlight w:val="white"/>
                <w:u w:val="single"/>
                <w:lang w:val="uk-UA" w:eastAsia="zh-CN" w:bidi="ar-SA"/>
              </w:rPr>
            </w:pPr>
            <w:r>
              <w:rPr>
                <w:rFonts w:eastAsia="Calibri" w:cs="Times New Roman" w:ascii="Times New Roman CYR" w:hAnsi="Times New Roman CYR"/>
                <w:b/>
                <w:bCs/>
                <w:i w:val="false"/>
                <w:iCs w:val="false"/>
                <w:caps w:val="false"/>
                <w:smallCaps w:val="false"/>
                <w:color w:val="000000"/>
                <w:spacing w:val="0"/>
                <w:sz w:val="28"/>
                <w:szCs w:val="28"/>
                <w:highlight w:val="white"/>
                <w:u w:val="single"/>
                <w:lang w:val="uk-UA" w:eastAsia="zh-CN" w:bidi="ar-SA"/>
              </w:rPr>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О. Бондарчука:</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представники Київської міської ради, обрані на підставі рішення профільної постійної комісії Київської міської ради, до функціональної спрямованості якої належать питання діяльності закладів освіти і науки;....”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ascii="Times New Roman" w:hAnsi="Times New Roman" w:eastAsia="Calibri" w:cs="Times New Roman"/>
                <w:b/>
                <w:b/>
                <w:bCs w:val="false"/>
                <w:i/>
                <w:i/>
                <w:iCs/>
                <w:caps w:val="false"/>
                <w:smallCaps w:val="false"/>
                <w:color w:val="000000"/>
                <w:spacing w:val="0"/>
                <w:sz w:val="28"/>
                <w:szCs w:val="28"/>
                <w:highlight w:val="white"/>
                <w:u w:val="none"/>
                <w:lang w:val="uk-UA" w:eastAsia="zh-CN" w:bidi="ar-SA"/>
              </w:rPr>
            </w:pPr>
            <w:r>
              <w:rPr>
                <w:rFonts w:eastAsia="Calibri" w:cs="Times New Roman"/>
                <w:b/>
                <w:bCs w:val="false"/>
                <w:i/>
                <w:iCs/>
                <w:caps w:val="false"/>
                <w:smallCaps w:val="false"/>
                <w:color w:val="000000"/>
                <w:spacing w:val="0"/>
                <w:sz w:val="28"/>
                <w:szCs w:val="28"/>
                <w:highlight w:val="white"/>
                <w:u w:val="none"/>
                <w:lang w:val="uk-UA" w:eastAsia="zh-CN" w:bidi="ar-SA"/>
              </w:rPr>
            </w:r>
          </w:p>
          <w:p>
            <w:pPr>
              <w:pStyle w:val="Normal"/>
              <w:spacing w:lineRule="auto" w:line="240"/>
              <w:ind w:hanging="0"/>
              <w:rPr>
                <w:sz w:val="28"/>
                <w:szCs w:val="28"/>
              </w:rPr>
            </w:pPr>
            <w:r>
              <w:rPr>
                <w:rStyle w:val="Style9"/>
                <w:color w:val="000000"/>
                <w:sz w:val="28"/>
                <w:szCs w:val="28"/>
                <w:u w:val="none"/>
              </w:rPr>
              <w:t>-Пропозиція депутата Київської міської ради А.Шлапак:</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sz w:val="28"/>
                <w:szCs w:val="28"/>
              </w:rPr>
            </w:pPr>
            <w:r>
              <w:rPr>
                <w:rStyle w:val="Style9"/>
                <w:rFonts w:eastAsia="Calibri" w:cs="Times New Roman"/>
                <w:b/>
                <w:bCs w:val="false"/>
                <w:i/>
                <w:iCs/>
                <w:caps w:val="false"/>
                <w:smallCaps w:val="false"/>
                <w:color w:val="000000"/>
                <w:spacing w:val="0"/>
                <w:sz w:val="28"/>
                <w:szCs w:val="28"/>
                <w:highlight w:val="white"/>
                <w:u w:val="none"/>
                <w:lang w:val="uk-UA" w:eastAsia="zh-CN" w:bidi="ar-SA"/>
              </w:rPr>
              <w:t>“</w:t>
            </w:r>
            <w:r>
              <w:rPr>
                <w:rStyle w:val="Style9"/>
                <w:rFonts w:eastAsia="Calibri" w:cs="Times New Roman"/>
                <w:b/>
                <w:bCs w:val="false"/>
                <w:i/>
                <w:iCs/>
                <w:caps w:val="false"/>
                <w:smallCaps w:val="false"/>
                <w:color w:val="000000"/>
                <w:spacing w:val="0"/>
                <w:sz w:val="28"/>
                <w:szCs w:val="28"/>
                <w:highlight w:val="white"/>
                <w:u w:val="none"/>
                <w:lang w:val="uk-UA" w:eastAsia="zh-CN" w:bidi="ar-SA"/>
              </w:rPr>
              <w:t>... депутати Київської міської ради;...”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yle9"/>
                <w:rFonts w:ascii="Times New Roman" w:hAnsi="Times New Roman" w:eastAsia="Calibri" w:cs="Times New Roman"/>
                <w:b/>
                <w:b/>
                <w:bCs w:val="false"/>
                <w:i/>
                <w:i/>
                <w:iCs/>
                <w:caps w:val="false"/>
                <w:smallCaps w:val="false"/>
                <w:color w:val="000000"/>
                <w:spacing w:val="0"/>
                <w:sz w:val="28"/>
                <w:szCs w:val="28"/>
                <w:highlight w:val="white"/>
                <w:u w:val="none"/>
                <w:lang w:val="uk-UA" w:eastAsia="zh-CN" w:bidi="ar-SA"/>
              </w:rPr>
            </w:pPr>
            <w:r>
              <w:rPr>
                <w:rFonts w:eastAsia="Calibri" w:cs="Times New Roman"/>
                <w:b/>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пропозицію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депутата Київської міської ради О. Бондарчука з правкою Департаменту освіти і науки,молоді та спорту виконавчого органу Київської міської ради (КМДА), а саме: слово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“представники”</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замінити на слово</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 xml:space="preserve">“представник”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викласти її  в наступній редакції:</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представник Київської міської ради, обраний на підставі рішення профільної постійної комісії Київської міської ради, до функціональної спрямованості якої належать питання діяльності закладів освіти і науки;....”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не голосував - 1.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yle9"/>
                <w:rFonts w:ascii="Times New Roman" w:hAnsi="Times New Roman"/>
                <w:color w:val="000000"/>
                <w:u w:val="none"/>
                <w:lang w:val="uk-UA"/>
              </w:rPr>
            </w:pPr>
            <w:r>
              <w:rPr>
                <w:color w:val="000000"/>
                <w:u w:val="none"/>
                <w:lang w:val="uk-UA"/>
              </w:rPr>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yle9"/>
                <w:rFonts w:ascii="Times New Roman" w:hAnsi="Times New Roman"/>
                <w:color w:val="000000"/>
                <w:u w:val="none"/>
                <w:lang w:val="uk-UA"/>
              </w:rPr>
            </w:pPr>
            <w:r>
              <w:rPr>
                <w:color w:val="000000"/>
                <w:u w:val="none"/>
                <w:lang w:val="uk-UA"/>
              </w:rPr>
            </w:r>
          </w:p>
          <w:p>
            <w:pPr>
              <w:pStyle w:val="Normal"/>
              <w:spacing w:lineRule="auto" w:line="240"/>
              <w:ind w:hanging="0"/>
              <w:rPr>
                <w:sz w:val="28"/>
                <w:szCs w:val="28"/>
              </w:rPr>
            </w:pPr>
            <w:r>
              <w:rPr>
                <w:rStyle w:val="Style9"/>
                <w:b/>
                <w:bCs/>
                <w:color w:val="000000"/>
                <w:sz w:val="28"/>
                <w:szCs w:val="28"/>
                <w:u w:val="single"/>
                <w:lang w:val="uk-UA"/>
              </w:rPr>
              <w:t>2) Пункт 7 абзац 2</w:t>
            </w:r>
          </w:p>
          <w:p>
            <w:pPr>
              <w:pStyle w:val="Normal"/>
              <w:spacing w:lineRule="auto" w:line="240"/>
              <w:ind w:hanging="0"/>
              <w:rPr>
                <w:rStyle w:val="Style9"/>
                <w:rFonts w:ascii="Times New Roman" w:hAnsi="Times New Roman"/>
                <w:b/>
                <w:b/>
                <w:bCs/>
                <w:color w:val="000000"/>
                <w:u w:val="single"/>
                <w:lang w:val="uk-UA"/>
              </w:rPr>
            </w:pPr>
            <w:r>
              <w:rPr>
                <w:b/>
                <w:bCs/>
                <w:color w:val="000000"/>
                <w:u w:val="single"/>
                <w:lang w:val="uk-UA"/>
              </w:rPr>
            </w:r>
          </w:p>
          <w:p>
            <w:pPr>
              <w:pStyle w:val="Normal"/>
              <w:spacing w:lineRule="auto" w:line="240"/>
              <w:ind w:hanging="0"/>
              <w:rPr>
                <w:sz w:val="28"/>
                <w:szCs w:val="28"/>
              </w:rPr>
            </w:pPr>
            <w:r>
              <w:rPr>
                <w:rStyle w:val="Style9"/>
                <w:color w:val="000000"/>
                <w:sz w:val="28"/>
                <w:szCs w:val="28"/>
                <w:u w:val="none"/>
                <w:lang w:val="uk-U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Пропозиція депутата Київської міської ради О. Бондарчука:</w:t>
            </w:r>
          </w:p>
          <w:p>
            <w:pPr>
              <w:pStyle w:val="Normal"/>
              <w:spacing w:lineRule="auto" w:line="240"/>
              <w:ind w:hanging="0"/>
              <w:rPr>
                <w:sz w:val="28"/>
                <w:szCs w:val="28"/>
              </w:rPr>
            </w:pPr>
            <w:r>
              <w:rPr>
                <w:rStyle w:val="Style9"/>
                <w:b/>
                <w:bCs/>
                <w:i/>
                <w:iCs/>
                <w:color w:val="000000"/>
                <w:sz w:val="28"/>
                <w:szCs w:val="28"/>
                <w:u w:val="none"/>
                <w:lang w:val="uk-UA"/>
              </w:rPr>
              <w:t>“</w:t>
            </w:r>
            <w:r>
              <w:rPr>
                <w:rStyle w:val="Style9"/>
                <w:rFonts w:cs="Times New Roman"/>
                <w:b/>
                <w:bCs/>
                <w:i/>
                <w:iCs/>
                <w:color w:val="000000"/>
                <w:sz w:val="28"/>
                <w:szCs w:val="28"/>
                <w:u w:val="none"/>
                <w:lang w:val="uk-UA"/>
              </w:rPr>
              <w:t>До участі у роботі конкурсної комісії з правом дорадчого голосу можуть бути залучені працівники Департаменту, представники громадських об’єднань, що здійснюють свою діяльність у сфері освіти, експерти у сфері дошкільної та загальної середньої освіти, психологи”</w:t>
            </w:r>
          </w:p>
          <w:p>
            <w:pPr>
              <w:pStyle w:val="Normal"/>
              <w:spacing w:lineRule="auto" w:line="240"/>
              <w:ind w:hanging="0"/>
              <w:rPr>
                <w:rStyle w:val="Style9"/>
                <w:rFonts w:ascii="Times New Roman" w:hAnsi="Times New Roman"/>
                <w:color w:val="000000"/>
                <w:u w:val="none"/>
                <w:lang w:val="uk-UA"/>
              </w:rPr>
            </w:pPr>
            <w:r>
              <w:rPr>
                <w:color w:val="000000"/>
                <w:u w:val="none"/>
                <w:lang w:val="uk-UA"/>
              </w:rPr>
            </w:r>
          </w:p>
          <w:p>
            <w:pPr>
              <w:pStyle w:val="Normal"/>
              <w:spacing w:lineRule="auto" w:line="240"/>
              <w:ind w:hanging="0"/>
              <w:rPr>
                <w:sz w:val="28"/>
                <w:szCs w:val="28"/>
              </w:rPr>
            </w:pPr>
            <w:r>
              <w:rPr>
                <w:rStyle w:val="Style9"/>
                <w:color w:val="000000"/>
                <w:sz w:val="28"/>
                <w:szCs w:val="28"/>
                <w:u w:val="none"/>
                <w:lang w:val="uk-UA"/>
              </w:rPr>
              <w:t>-Пропозиція депутата Київської міської ради А.Шлапак:</w:t>
            </w:r>
          </w:p>
          <w:p>
            <w:pPr>
              <w:pStyle w:val="Normal"/>
              <w:spacing w:lineRule="auto" w:line="240"/>
              <w:ind w:hanging="0"/>
              <w:rPr>
                <w:sz w:val="28"/>
                <w:szCs w:val="28"/>
              </w:rPr>
            </w:pPr>
            <w:r>
              <w:rPr>
                <w:rStyle w:val="Style9"/>
                <w:b/>
                <w:bCs/>
                <w:i/>
                <w:iCs/>
                <w:color w:val="000000"/>
                <w:sz w:val="28"/>
                <w:szCs w:val="28"/>
                <w:u w:val="none"/>
                <w:lang w:val="uk-UA"/>
              </w:rPr>
              <w:t>“</w:t>
            </w:r>
            <w:r>
              <w:rPr>
                <w:rStyle w:val="Style9"/>
                <w:b/>
                <w:bCs/>
                <w:i/>
                <w:iCs/>
                <w:color w:val="000000"/>
                <w:sz w:val="28"/>
                <w:szCs w:val="28"/>
                <w:u w:val="none"/>
                <w:lang w:val="uk-UA"/>
              </w:rPr>
              <w:t xml:space="preserve">До участі у роботі конкурсної комісії з правом дорадчого голосу можуть бути залучені працівники Департаменту, </w:t>
            </w:r>
            <w:r>
              <w:rPr>
                <w:rStyle w:val="Style9"/>
                <w:b w:val="false"/>
                <w:bCs w:val="false"/>
                <w:i/>
                <w:iCs/>
                <w:color w:val="000000"/>
                <w:sz w:val="28"/>
                <w:szCs w:val="28"/>
                <w:u w:val="none"/>
                <w:lang w:val="uk-UA"/>
              </w:rPr>
              <w:t>науково-педагогічні</w:t>
            </w:r>
            <w:r>
              <w:rPr>
                <w:rStyle w:val="Style9"/>
                <w:b/>
                <w:bCs/>
                <w:i/>
                <w:iCs/>
                <w:color w:val="000000"/>
                <w:sz w:val="28"/>
                <w:szCs w:val="28"/>
                <w:u w:val="none"/>
                <w:lang w:val="uk-UA"/>
              </w:rPr>
              <w:t xml:space="preserve"> </w:t>
            </w:r>
            <w:r>
              <w:rPr>
                <w:rStyle w:val="Style9"/>
                <w:b w:val="false"/>
                <w:bCs w:val="false"/>
                <w:i/>
                <w:iCs/>
                <w:color w:val="000000"/>
                <w:sz w:val="28"/>
                <w:szCs w:val="28"/>
                <w:u w:val="none"/>
                <w:lang w:val="uk-UA"/>
              </w:rPr>
              <w:t>працівники вищих навчальних закладів, які здійснюють підготовку науко-педагогічних кадрів,</w:t>
            </w:r>
            <w:r>
              <w:rPr>
                <w:rStyle w:val="Style9"/>
                <w:b/>
                <w:bCs/>
                <w:i/>
                <w:iCs/>
                <w:color w:val="000000"/>
                <w:sz w:val="28"/>
                <w:szCs w:val="28"/>
                <w:u w:val="none"/>
                <w:lang w:val="uk-UA"/>
              </w:rPr>
              <w:t xml:space="preserve"> представники громадських об’єднань, що здійснюють свою діяльність у сфері освіти, експерти у сфері дошкільної освіти та загальної середньої освіти, психологи.”</w:t>
            </w:r>
          </w:p>
          <w:p>
            <w:pPr>
              <w:pStyle w:val="Normal"/>
              <w:spacing w:lineRule="auto" w:line="240"/>
              <w:ind w:hanging="0"/>
              <w:rPr>
                <w:rStyle w:val="Style9"/>
                <w:sz w:val="28"/>
                <w:szCs w:val="28"/>
              </w:rPr>
            </w:pPr>
            <w:r>
              <w:rPr>
                <w:sz w:val="28"/>
                <w:szCs w:val="28"/>
              </w:rPr>
            </w:r>
          </w:p>
          <w:p>
            <w:pPr>
              <w:pStyle w:val="Normal"/>
              <w:spacing w:lineRule="auto" w:line="240"/>
              <w:ind w:hanging="0"/>
              <w:rPr>
                <w:sz w:val="28"/>
                <w:szCs w:val="28"/>
                <w:lang w:val="uk-UA" w:bidi="ar-SA"/>
              </w:rPr>
            </w:pPr>
            <w:r>
              <w:rPr>
                <w:rStyle w:val="Style9"/>
                <w:i/>
                <w:iCs/>
                <w:color w:val="000000"/>
                <w:sz w:val="28"/>
                <w:szCs w:val="28"/>
                <w:u w:val="none"/>
                <w:lang w:val="uk-UA" w:bidi="ar-SA"/>
              </w:rPr>
              <w:t>УХВАЛИЛИ:</w:t>
            </w:r>
          </w:p>
          <w:p>
            <w:pPr>
              <w:pStyle w:val="Normal"/>
              <w:spacing w:lineRule="auto" w:line="240"/>
              <w:ind w:hanging="0"/>
              <w:rPr>
                <w:sz w:val="28"/>
                <w:szCs w:val="28"/>
              </w:rPr>
            </w:pPr>
            <w:r>
              <w:rPr>
                <w:rStyle w:val="Style9"/>
                <w:color w:val="000000"/>
                <w:sz w:val="28"/>
                <w:szCs w:val="28"/>
                <w:u w:val="none"/>
              </w:rPr>
              <w:t>Об'єднати пропозиції депутатів Київської міської ради О.Бондарчука та А.Шлапак та викласти її в наступній редакції:</w:t>
            </w:r>
          </w:p>
          <w:p>
            <w:pPr>
              <w:pStyle w:val="NoSpacing"/>
              <w:spacing w:lineRule="auto" w:line="240" w:before="0" w:after="0"/>
              <w:ind w:hanging="0"/>
              <w:jc w:val="both"/>
              <w:rPr>
                <w:sz w:val="28"/>
                <w:szCs w:val="28"/>
              </w:rPr>
            </w:pPr>
            <w:r>
              <w:rPr>
                <w:rStyle w:val="Style9"/>
                <w:rFonts w:ascii="Times New Roman" w:hAnsi="Times New Roman"/>
                <w:b/>
                <w:bCs/>
                <w:i/>
                <w:iCs/>
                <w:color w:val="000000"/>
                <w:sz w:val="28"/>
                <w:szCs w:val="28"/>
                <w:u w:val="none"/>
                <w:lang w:val="uk-UA"/>
              </w:rPr>
              <w:t>“</w:t>
            </w:r>
            <w:r>
              <w:rPr>
                <w:rStyle w:val="Style9"/>
                <w:rFonts w:ascii="Times New Roman" w:hAnsi="Times New Roman"/>
                <w:b/>
                <w:bCs/>
                <w:i/>
                <w:iCs/>
                <w:color w:val="000000"/>
                <w:sz w:val="28"/>
                <w:szCs w:val="28"/>
                <w:u w:val="none"/>
                <w:lang w:val="uk-UA"/>
              </w:rPr>
              <w:t>До участі у роботі конкурсної комісії з правом дорадчого голосу можуть бути залучені працівники Департаменту, науково-педагогічні працівники вищих навчальних закладів, які здійснюють підготовку науко-педагогічних кадрів, представники громадських об’єднань, що здійснюють свою діяльність у сфері освіти, експерти у сфері дошкільної освіти та загальної середньої освіти, психологи.”</w:t>
            </w:r>
          </w:p>
          <w:p>
            <w:pPr>
              <w:pStyle w:val="Normal"/>
              <w:spacing w:lineRule="auto" w:line="240"/>
              <w:ind w:hanging="0"/>
              <w:rPr>
                <w:rStyle w:val="Style9"/>
                <w:b/>
                <w:b/>
                <w:bCs/>
                <w:i/>
                <w:i/>
                <w:iCs/>
              </w:rPr>
            </w:pPr>
            <w:r>
              <w:rPr>
                <w:b/>
                <w:bCs/>
                <w:i/>
                <w:iCs/>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rStyle w:val="Style9"/>
                <w:sz w:val="28"/>
                <w:szCs w:val="28"/>
              </w:rPr>
            </w:pPr>
            <w:r>
              <w:rPr>
                <w:sz w:val="28"/>
                <w:szCs w:val="28"/>
              </w:rPr>
            </w:r>
          </w:p>
          <w:p>
            <w:pPr>
              <w:pStyle w:val="Normal"/>
              <w:spacing w:lineRule="auto" w:line="240"/>
              <w:ind w:hanging="0"/>
              <w:rPr>
                <w:sz w:val="28"/>
                <w:szCs w:val="28"/>
              </w:rPr>
            </w:pPr>
            <w:r>
              <w:rPr>
                <w:rStyle w:val="Style9"/>
                <w:b/>
                <w:bCs/>
                <w:color w:val="000000"/>
                <w:sz w:val="28"/>
                <w:szCs w:val="28"/>
                <w:u w:val="single"/>
              </w:rPr>
              <w:t>Пункт 7 абзац 3</w:t>
            </w:r>
          </w:p>
          <w:p>
            <w:pPr>
              <w:pStyle w:val="Normal"/>
              <w:spacing w:lineRule="auto" w:line="240"/>
              <w:ind w:hanging="0"/>
              <w:rPr>
                <w:rStyle w:val="Style9"/>
                <w:b/>
                <w:b/>
                <w:bCs/>
                <w:color w:val="000000"/>
                <w:u w:val="single"/>
              </w:rPr>
            </w:pPr>
            <w:r>
              <w:rPr>
                <w:b/>
                <w:bCs/>
                <w:color w:val="000000"/>
                <w:u w:val="single"/>
              </w:rPr>
            </w:r>
          </w:p>
          <w:p>
            <w:pPr>
              <w:pStyle w:val="Normal"/>
              <w:spacing w:lineRule="auto" w:line="240"/>
              <w:ind w:hanging="0"/>
              <w:rPr>
                <w:sz w:val="28"/>
                <w:szCs w:val="28"/>
              </w:rPr>
            </w:pPr>
            <w:r>
              <w:rPr>
                <w:rStyle w:val="Style9"/>
                <w:color w:val="000000"/>
                <w:sz w:val="28"/>
                <w:szCs w:val="28"/>
                <w:u w:val="none"/>
                <w:lang w:val="uk-UA"/>
              </w:rPr>
              <w:t>-Пропозиція депутата Київської міської ради А.Шлапак:</w:t>
            </w:r>
          </w:p>
          <w:p>
            <w:pPr>
              <w:pStyle w:val="Normal"/>
              <w:spacing w:lineRule="auto" w:line="240" w:before="0" w:after="0"/>
              <w:ind w:hanging="0"/>
              <w:jc w:val="both"/>
              <w:rPr>
                <w:b/>
                <w:b/>
                <w:bCs/>
                <w:i/>
                <w:i/>
                <w:iCs/>
                <w:sz w:val="28"/>
                <w:szCs w:val="28"/>
              </w:rPr>
            </w:pPr>
            <w:r>
              <w:rPr>
                <w:b/>
                <w:bCs/>
                <w:i/>
                <w:iCs/>
                <w:sz w:val="28"/>
                <w:szCs w:val="28"/>
                <w:lang w:val="uk-UA"/>
              </w:rPr>
              <w:t>“</w:t>
            </w:r>
            <w:r>
              <w:rPr>
                <w:b/>
                <w:bCs/>
                <w:i/>
                <w:iCs/>
                <w:sz w:val="28"/>
                <w:szCs w:val="28"/>
                <w:lang w:val="uk-UA"/>
              </w:rPr>
              <w:t xml:space="preserve">Персональний склад конкурсної комісії затверджується </w:t>
            </w:r>
            <w:r>
              <w:rPr>
                <w:b w:val="false"/>
                <w:bCs w:val="false"/>
                <w:i/>
                <w:iCs/>
                <w:sz w:val="28"/>
                <w:szCs w:val="28"/>
                <w:lang w:val="uk-UA"/>
              </w:rPr>
              <w:t>розпорядженням Голови Київської міської державної адміністрації</w:t>
            </w:r>
            <w:r>
              <w:rPr>
                <w:b/>
                <w:bCs/>
                <w:i/>
                <w:iCs/>
                <w:sz w:val="28"/>
                <w:szCs w:val="28"/>
                <w:lang w:val="uk-UA"/>
              </w:rPr>
              <w:t xml:space="preserve"> та складається не менше ніж з 11 осіб.</w:t>
            </w:r>
          </w:p>
          <w:p>
            <w:pPr>
              <w:pStyle w:val="NoSpacing"/>
              <w:spacing w:lineRule="auto" w:line="240" w:before="0" w:after="0"/>
              <w:jc w:val="both"/>
              <w:rPr>
                <w:b/>
                <w:b/>
                <w:bCs/>
                <w:i/>
                <w:i/>
                <w:iCs/>
                <w:sz w:val="28"/>
                <w:szCs w:val="28"/>
              </w:rPr>
            </w:pPr>
            <w:r>
              <w:rPr>
                <w:rFonts w:ascii="Times New Roman" w:hAnsi="Times New Roman"/>
                <w:b/>
                <w:bCs/>
                <w:i/>
                <w:iCs/>
                <w:sz w:val="28"/>
                <w:szCs w:val="28"/>
                <w:lang w:val="uk-UA"/>
              </w:rPr>
              <w:t>Конкурсна комісія працює на громадських засадах.</w:t>
            </w:r>
          </w:p>
          <w:p>
            <w:pPr>
              <w:pStyle w:val="NoSpacing"/>
              <w:keepNext/>
              <w:keepLines/>
              <w:spacing w:lineRule="auto" w:line="240" w:before="0" w:after="0"/>
              <w:ind w:left="0" w:right="0" w:hanging="0"/>
              <w:jc w:val="both"/>
              <w:rPr>
                <w:sz w:val="28"/>
                <w:szCs w:val="28"/>
              </w:rPr>
            </w:pPr>
            <w:r>
              <w:rPr>
                <w:rStyle w:val="Style9"/>
                <w:rFonts w:cs="Times New Roman" w:ascii="Times New Roman" w:hAnsi="Times New Roman"/>
                <w:b/>
                <w:bCs/>
                <w:i/>
                <w:iCs/>
                <w:color w:val="000000"/>
                <w:sz w:val="28"/>
                <w:szCs w:val="28"/>
                <w:u w:val="none"/>
                <w:lang w:val="uk-UA"/>
              </w:rPr>
              <w:t xml:space="preserve"> </w:t>
            </w:r>
            <w:r>
              <w:rPr>
                <w:rStyle w:val="Style9"/>
                <w:rFonts w:cs="Times New Roman" w:ascii="Times New Roman" w:hAnsi="Times New Roman"/>
                <w:b/>
                <w:bCs/>
                <w:i/>
                <w:iCs/>
                <w:color w:val="000000"/>
                <w:sz w:val="28"/>
                <w:szCs w:val="28"/>
                <w:u w:val="none"/>
                <w:lang w:val="uk-UA"/>
              </w:rPr>
              <w:t>Засідання конкурсної комісії вважається правоможним, якщо на ньому присутні не менше 2/3 усіх членів конкурсної комісії. Рішення конкурсної комісії приймається більшістю голосів присутніх на засіданні членів комісії. У разі рівного розподілу голосів вирішальним є голос голови конкурсної комісії. На засіданні конкурсної комісії ведеться протокол”</w:t>
            </w:r>
          </w:p>
          <w:p>
            <w:pPr>
              <w:pStyle w:val="Normal"/>
              <w:spacing w:lineRule="auto" w:line="240"/>
              <w:ind w:hanging="0"/>
              <w:rPr>
                <w:rStyle w:val="Style9"/>
                <w:sz w:val="28"/>
                <w:szCs w:val="28"/>
              </w:rPr>
            </w:pPr>
            <w:r>
              <w:rPr>
                <w:sz w:val="28"/>
                <w:szCs w:val="28"/>
              </w:rPr>
            </w:r>
          </w:p>
          <w:p>
            <w:pPr>
              <w:pStyle w:val="Normal"/>
              <w:spacing w:lineRule="auto" w:line="240"/>
              <w:ind w:hanging="0"/>
              <w:rPr>
                <w:rStyle w:val="Style9"/>
                <w:i/>
                <w:i/>
                <w:iCs/>
                <w:color w:val="000000"/>
                <w:u w:val="none"/>
                <w:lang w:val="uk-UA" w:bidi="ar-SA"/>
              </w:rPr>
            </w:pPr>
            <w:r>
              <w:rPr>
                <w:i/>
                <w:iCs/>
                <w:color w:val="000000"/>
                <w:u w:val="none"/>
                <w:lang w:val="uk-UA" w:bidi="ar-SA"/>
              </w:rPr>
            </w:r>
          </w:p>
          <w:p>
            <w:pPr>
              <w:pStyle w:val="Normal"/>
              <w:spacing w:lineRule="auto" w:line="240"/>
              <w:ind w:hanging="0"/>
              <w:rPr>
                <w:sz w:val="28"/>
                <w:szCs w:val="28"/>
              </w:rPr>
            </w:pPr>
            <w:r>
              <w:rPr>
                <w:rStyle w:val="Style9"/>
                <w:i/>
                <w:iCs/>
                <w:color w:val="000000"/>
                <w:sz w:val="28"/>
                <w:szCs w:val="28"/>
                <w:u w:val="none"/>
                <w:lang w:val="uk-UA" w:bidi="ar-SA"/>
              </w:rPr>
              <w:t>УХВАЛИЛИ:</w:t>
            </w:r>
          </w:p>
          <w:p>
            <w:pPr>
              <w:pStyle w:val="Normal"/>
              <w:spacing w:lineRule="auto" w:line="240"/>
              <w:ind w:hanging="0"/>
              <w:rPr>
                <w:sz w:val="28"/>
                <w:szCs w:val="28"/>
              </w:rPr>
            </w:pPr>
            <w:r>
              <w:rPr>
                <w:rStyle w:val="Style9"/>
                <w:color w:val="000000"/>
                <w:sz w:val="28"/>
                <w:szCs w:val="28"/>
                <w:u w:val="none"/>
              </w:rPr>
              <w:t>Підтримати пропозицію депутата Київської міської ради А.Шлапак щодо затвердження персонального складу конкурсної комісії.</w:t>
            </w:r>
          </w:p>
          <w:p>
            <w:pPr>
              <w:pStyle w:val="Normal"/>
              <w:spacing w:lineRule="auto" w:line="240"/>
              <w:ind w:hanging="0"/>
              <w:rPr>
                <w:sz w:val="28"/>
                <w:szCs w:val="28"/>
              </w:rPr>
            </w:pPr>
            <w:r>
              <w:rPr>
                <w:rStyle w:val="Style9"/>
                <w:i/>
                <w:iCs/>
                <w:color w:val="000000"/>
                <w:sz w:val="28"/>
                <w:szCs w:val="28"/>
                <w:u w:val="none"/>
                <w:lang w:val="uk-UA" w:bidi="ar-SA"/>
              </w:rPr>
              <w:t>ГОЛОСУВАЛИ:</w:t>
            </w:r>
          </w:p>
          <w:p>
            <w:pPr>
              <w:pStyle w:val="Normal"/>
              <w:spacing w:lineRule="auto" w:line="240"/>
              <w:ind w:hanging="0"/>
              <w:rPr>
                <w:sz w:val="28"/>
                <w:szCs w:val="28"/>
              </w:rPr>
            </w:pPr>
            <w:r>
              <w:rPr>
                <w:rStyle w:val="Style9"/>
                <w:color w:val="000000"/>
                <w:sz w:val="28"/>
                <w:szCs w:val="28"/>
                <w:u w:val="none"/>
              </w:rPr>
              <w:t xml:space="preserve">За-0, проти-4, утримались -1. </w:t>
            </w:r>
            <w:r>
              <w:rPr>
                <w:rStyle w:val="Style9"/>
                <w:i/>
                <w:iCs/>
                <w:color w:val="000000"/>
                <w:sz w:val="28"/>
                <w:szCs w:val="28"/>
                <w:u w:val="none"/>
              </w:rPr>
              <w:t>Рішення не прийнято.</w:t>
            </w:r>
          </w:p>
          <w:p>
            <w:pPr>
              <w:pStyle w:val="Normal"/>
              <w:spacing w:lineRule="auto" w:line="240"/>
              <w:ind w:hanging="0"/>
              <w:rPr>
                <w:rStyle w:val="Style9"/>
                <w:color w:val="000000"/>
                <w:u w:val="none"/>
              </w:rPr>
            </w:pPr>
            <w:r>
              <w:rPr>
                <w:color w:val="000000"/>
                <w:u w:val="none"/>
              </w:rPr>
            </w:r>
          </w:p>
          <w:p>
            <w:pPr>
              <w:pStyle w:val="Normal"/>
              <w:spacing w:lineRule="auto" w:line="240"/>
              <w:ind w:hanging="0"/>
              <w:rPr>
                <w:sz w:val="28"/>
                <w:szCs w:val="28"/>
                <w:lang w:val="uk-UA" w:bidi="ar-SA"/>
              </w:rPr>
            </w:pPr>
            <w:r>
              <w:rPr>
                <w:rStyle w:val="Style9"/>
                <w:i/>
                <w:iCs/>
                <w:color w:val="000000"/>
                <w:sz w:val="28"/>
                <w:szCs w:val="28"/>
                <w:u w:val="none"/>
                <w:lang w:val="uk-UA" w:bidi="ar-SA"/>
              </w:rPr>
              <w:t>УХВАЛИЛИ:</w:t>
            </w:r>
          </w:p>
          <w:p>
            <w:pPr>
              <w:pStyle w:val="Normal"/>
              <w:spacing w:lineRule="auto" w:line="240"/>
              <w:ind w:hanging="0"/>
              <w:rPr>
                <w:sz w:val="28"/>
                <w:szCs w:val="28"/>
              </w:rPr>
            </w:pPr>
            <w:r>
              <w:rPr>
                <w:rStyle w:val="Style9"/>
                <w:color w:val="000000"/>
                <w:sz w:val="28"/>
                <w:szCs w:val="28"/>
                <w:u w:val="none"/>
              </w:rPr>
              <w:t>Відхилити пропозицію депутата Київської міської ради А.Шлапак щодо затвердження персонального складу конкурсної комісії.</w:t>
            </w:r>
          </w:p>
          <w:p>
            <w:pPr>
              <w:pStyle w:val="Normal"/>
              <w:spacing w:lineRule="auto" w:line="240"/>
              <w:ind w:hanging="0"/>
              <w:rPr>
                <w:rStyle w:val="Style9"/>
                <w:color w:val="000000"/>
                <w:u w:val="none"/>
              </w:rPr>
            </w:pPr>
            <w:r>
              <w:rPr>
                <w:color w:val="000000"/>
                <w:u w:val="none"/>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rStyle w:val="Style9"/>
                <w:b/>
                <w:b/>
                <w:bCs/>
                <w:color w:val="000000"/>
                <w:u w:val="single"/>
              </w:rPr>
            </w:pPr>
            <w:r>
              <w:rPr>
                <w:b/>
                <w:bCs/>
                <w:color w:val="000000"/>
                <w:u w:val="single"/>
              </w:rPr>
            </w:r>
          </w:p>
          <w:p>
            <w:pPr>
              <w:pStyle w:val="Normal"/>
              <w:spacing w:lineRule="auto" w:line="240"/>
              <w:ind w:hanging="0"/>
              <w:rPr>
                <w:sz w:val="28"/>
                <w:szCs w:val="28"/>
              </w:rPr>
            </w:pPr>
            <w:r>
              <w:rPr>
                <w:rStyle w:val="Style9"/>
                <w:b/>
                <w:bCs/>
                <w:color w:val="000000"/>
                <w:sz w:val="28"/>
                <w:szCs w:val="28"/>
                <w:u w:val="single"/>
              </w:rPr>
              <w:t>2) Пункт 10</w:t>
            </w:r>
          </w:p>
          <w:p>
            <w:pPr>
              <w:pStyle w:val="Normal"/>
              <w:spacing w:lineRule="auto" w:line="240"/>
              <w:ind w:hanging="0"/>
              <w:rPr>
                <w:rStyle w:val="Style9"/>
                <w:b/>
                <w:b/>
                <w:bCs/>
                <w:color w:val="000000"/>
                <w:u w:val="single"/>
              </w:rPr>
            </w:pPr>
            <w:r>
              <w:rPr>
                <w:b/>
                <w:bCs/>
                <w:color w:val="000000"/>
                <w:u w:val="single"/>
              </w:rPr>
            </w:r>
          </w:p>
          <w:p>
            <w:pPr>
              <w:pStyle w:val="Normal"/>
              <w:spacing w:lineRule="auto" w:line="240"/>
              <w:ind w:hanging="0"/>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О. Бондарчука:</w:t>
            </w:r>
          </w:p>
          <w:p>
            <w:pPr>
              <w:pStyle w:val="Normal"/>
              <w:spacing w:lineRule="auto" w:line="240"/>
              <w:ind w:hanging="0"/>
              <w:rPr>
                <w:sz w:val="28"/>
                <w:szCs w:val="28"/>
              </w:rPr>
            </w:pPr>
            <w:r>
              <w:rPr>
                <w:rStyle w:val="Style9"/>
                <w:i/>
                <w:iCs/>
                <w:color w:val="000000"/>
                <w:sz w:val="28"/>
                <w:szCs w:val="28"/>
                <w:u w:val="none"/>
              </w:rPr>
              <w:t xml:space="preserve">“ </w:t>
            </w:r>
            <w:r>
              <w:rPr>
                <w:rStyle w:val="Style9"/>
                <w:rFonts w:cs="Times New Roman"/>
                <w:i/>
                <w:iCs/>
                <w:color w:val="000000"/>
                <w:sz w:val="28"/>
                <w:szCs w:val="28"/>
                <w:u w:val="none"/>
              </w:rPr>
              <w:t xml:space="preserve">10. Конкурсна комісія протягом двох робочих днів після завершення вивчення поданих претендентами документів, результатів тестування та публічного захисту перспективного плану розвитку навчального закладу </w:t>
            </w:r>
            <w:r>
              <w:rPr>
                <w:rStyle w:val="Style9"/>
                <w:rFonts w:cs="Times New Roman"/>
                <w:b/>
                <w:i/>
                <w:iCs/>
                <w:color w:val="000000"/>
                <w:sz w:val="28"/>
                <w:szCs w:val="28"/>
                <w:u w:val="none"/>
              </w:rPr>
              <w:t>надає результати конкурсного відбору претендентам на заміщення вакантної посади керівника навчального закладу та Департаменту, надсилає їх до відповідної районної в місті Києві державної адміністрації та Київської міської ради для погодження”</w:t>
            </w:r>
          </w:p>
          <w:p>
            <w:pPr>
              <w:pStyle w:val="Normal"/>
              <w:spacing w:lineRule="auto" w:line="240"/>
              <w:ind w:hanging="0"/>
              <w:rPr>
                <w:rStyle w:val="Style9"/>
                <w:color w:val="000000"/>
                <w:u w:val="none"/>
              </w:rPr>
            </w:pPr>
            <w:r>
              <w:rPr>
                <w:color w:val="000000"/>
                <w:u w:val="none"/>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пропозицію депутата Київської міської ради О.Бондарчука до пункту 10.</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–2, проти – немає, утрималось –3.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 пропозицію</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депутата Київської міської ради О.Бондарчука до пункту 10.</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Л.Антонєнка:</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10. Конкурсна комісія протягом двох робочих днів після завершення вивчення поданих претендентами документів, результатів тестування та публічного захисту перспективного плану розвитку навчального закладу надає претендентам та Департаменту рішення щодо результатів конкурсного відбору.</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Кожен претендент, а також голова відповідної районної в місті Києві державної адміністрації можуть надати обґрунтовані заперечення щодо рішення конкурсної комісії до Департаменту не пізніше ніж через п’ять  робочих днів з дати його отримання”</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пропозицію  депутата Київської міської ради Л.Антонєнка до пункту 10.</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bCs/>
                <w:i w:val="false"/>
                <w:iCs w:val="false"/>
                <w:caps w:val="false"/>
                <w:smallCaps w:val="false"/>
                <w:color w:val="000000"/>
                <w:spacing w:val="0"/>
                <w:sz w:val="28"/>
                <w:szCs w:val="28"/>
                <w:highlight w:val="white"/>
                <w:u w:val="single"/>
                <w:shd w:fill="FFFFFF" w:val="clear"/>
                <w:lang w:val="uk-UA" w:eastAsia="zh-CN" w:bidi="ar-SA"/>
              </w:rPr>
              <w:t>3) Пункт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О. Бондарчука:</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11. Голова відповідної районної в місті Києві державної адміністрації протягом п’яти днів погоджує кандидатуру на заміщення вакантної посади за результатами конкурсу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або ж відхиляє її з наданням відповідного письмового обґрунтування.</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Київська міська рада впродовж 30 календарних днів з дня одержання результатів конкурсного відбору на заміщення вакантної посади керівника навчального закладу погоджує обрану конкурсною комісією кандидатуру шляхом прийняття відповідного рішення профільною постійною комісією Київської міської ради, до функціональної спрямованості якої належать питання діяльності закладів освіти і науки, або ж відхиляє її з наданням відповідного письмового обґрунтування”</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пропозицію  депутата Київської міської ради           О. Бондарчука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–1, проти – немає, утрималось –4.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пропозицію  депутата Київської міської ради             О. Бондарчука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–3, проти – немає, утрималось –2.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А.Шлапак:</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11. </w:t>
            </w:r>
            <w:r>
              <w:rPr>
                <w:rStyle w:val="Strong"/>
                <w:rFonts w:eastAsia="Calibri" w:cs="Times New Roman"/>
                <w:b/>
                <w:bCs/>
                <w:i/>
                <w:iCs/>
                <w:caps w:val="false"/>
                <w:smallCaps w:val="false"/>
                <w:color w:val="000000"/>
                <w:spacing w:val="0"/>
                <w:sz w:val="28"/>
                <w:szCs w:val="28"/>
                <w:highlight w:val="white"/>
                <w:u w:val="none"/>
                <w:shd w:fill="FFFFFF" w:val="clear"/>
                <w:lang w:val="uk-UA" w:eastAsia="zh-CN" w:bidi="ar-SA"/>
              </w:rPr>
              <w:t>Заступник голови Київської міської державної адміністрації згідно з розподілом обов’язків протягом 5 днів з моменту прийняття рішення щодо результатів конкурсного відбору погоджує кандидатуру на заміщення вакантної посади в дошкільних та загальноосвітніх закладах, що належать до комунальної власності територіальної громади міста та підпорядковані Департаменту освіти і науки, молоді та спорту. Голова відповідної районної в місті Києві державної адміністрації протягом 5 днів з моменту прийняття рішення щодо результатів конкурсного відбору надає подання на заміщення вакантної посади в дошкільних та загальноосвітніх закладах до Департаменту освіти і науки, молоді та спорту”</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пропозицію  депутата Київської міської ради А.Шлапак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–немає, проти – немає, утрималось –5.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пропозицію  депутата Київської міської ради А.Шлапак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Л.Антонєнка:</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 xml:space="preserve">11. За результатами розгляду рішення конкурсної комісії щодо результатів конкурсного відбору, письмових заперечень претендентів, голови відповідної районної в місті Києві державної адміністрації, після проведення консультацій із головою відповідної районної в місті Києві державної адміністрації (за наявності його заперечень), директор Департаменту протягом п'ятнадцяти робочих днів з дати отримання рішення щодо результатів конкурсного відбору: </w:t>
            </w:r>
          </w:p>
          <w:p>
            <w:pPr>
              <w:pStyle w:val="Normal"/>
              <w:spacing w:lineRule="auto" w:line="240" w:before="0" w:after="0"/>
              <w:ind w:firstLine="567"/>
              <w:rPr>
                <w:i/>
                <w:i/>
                <w:iCs/>
                <w:sz w:val="28"/>
                <w:szCs w:val="28"/>
              </w:rPr>
            </w:pPr>
            <w:r>
              <w:rPr>
                <w:b/>
                <w:i/>
                <w:iCs/>
                <w:sz w:val="28"/>
                <w:szCs w:val="28"/>
                <w:lang w:val="uk-UA"/>
              </w:rPr>
              <w:t xml:space="preserve">1) призначає визначеного конкурсною комісією претендента на посаду керівника навчального закладу шляхом укладення з ним контракту із дотриманням вимог законодавства України про працю; </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2) повертає рішення щодо результатів конкурсного відбору на повторний розгляд конкурсної комісії з одночасним наданням обґрунтування такого рішення”</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пропозицію  депутата Київської міської ради Л.Антонєнка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–3, проти – немає, утрималось –2.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пропозицію  депутата Київської міської ради Л.Антонєнка до пункту 11.</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–0, проти –3, утрималось –2.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bCs/>
                <w:i w:val="false"/>
                <w:iCs w:val="false"/>
                <w:caps w:val="false"/>
                <w:smallCaps w:val="false"/>
                <w:color w:val="000000"/>
                <w:spacing w:val="0"/>
                <w:sz w:val="28"/>
                <w:szCs w:val="28"/>
                <w:highlight w:val="white"/>
                <w:u w:val="single"/>
                <w:shd w:fill="FFFFFF" w:val="clear"/>
                <w:lang w:val="uk-UA" w:eastAsia="zh-CN" w:bidi="ar-SA"/>
              </w:rPr>
              <w:t>4) Пункт 12</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О. Бондарчука:</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12. На підставі рішення конкурсної комісії та не пізніше, ніж через десять днів з дати отримання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погодження чи відхилення (з письмовим обґрунтуванням) обраної конкурсною комісією кандидатури на заміщення вакантної посади керівника навчального закладу, наданих  відповідною районною в місті Києві державною адміністрацією та Київською міською радою,</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 директор Департаменту призначає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обрану</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 конкурсною комісією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кандидатуру</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 xml:space="preserve"> на посаду керівника навчального закладу шляхом укладення з ним контракту із дотриманням вимог законодавства України про працю </w:t>
            </w: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або ж видає Наказ про проведення повторного конкурсу з дотриманням вимог пункту 6 вказаного Порядку.</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b/>
                <w:bCs w:val="false"/>
                <w:i/>
                <w:iCs/>
                <w:caps w:val="false"/>
                <w:smallCaps w:val="false"/>
                <w:color w:val="000000"/>
                <w:spacing w:val="0"/>
                <w:sz w:val="28"/>
                <w:szCs w:val="28"/>
                <w:highlight w:val="white"/>
                <w:u w:val="none"/>
                <w:shd w:fill="FFFFFF" w:val="clear"/>
                <w:lang w:val="uk-UA" w:eastAsia="zh-CN" w:bidi="ar-SA"/>
              </w:rPr>
              <w:t>Директор Департаменту має право видати Наказ про проведення повторного конкурсу виключно за наявності письмових обґрунтувань відповідної районної в місті Києві державної адміністрації чи Київської міської ради щодо відхилення обраної конкурсною комісією кандидатури на заміщення вакантної посади керівника навчального закладу. Призначення обраної конкурсною комісією кандидатури на заміщення вакантної посади керівника навчального закладу може здійснюватися і за відсутності погоджень відповідної районної в місті Києві державної адміністрації чи Київської міської ради”</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w:hAnsi="Times New Roman" w:eastAsia="Calibri" w:cs="Times New Roman"/>
                <w:b/>
                <w:b/>
                <w:bCs w:val="false"/>
                <w:i/>
                <w:i/>
                <w:iCs/>
                <w:caps w:val="false"/>
                <w:smallCaps w:val="false"/>
                <w:color w:val="000000"/>
                <w:spacing w:val="0"/>
                <w:highlight w:val="white"/>
                <w:u w:val="none"/>
                <w:lang w:val="uk-UA" w:eastAsia="zh-CN" w:bidi="ar-SA"/>
              </w:rPr>
            </w:pPr>
            <w:r>
              <w:rPr>
                <w:rFonts w:eastAsia="Calibri" w:cs="Times New Roman"/>
                <w:b/>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пропозицію  депутата Київської міської ради О.Бондаренка до пункту 12.</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Пропозиція депутата Київської міської ради Л.Антонєнка:</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w:t>
            </w:r>
            <w:r>
              <w:rPr>
                <w:rStyle w:val="Strong"/>
                <w:rFonts w:eastAsia="Calibri" w:cs="Times New Roman"/>
                <w:b/>
                <w:bCs/>
                <w:i/>
                <w:iCs/>
                <w:caps w:val="false"/>
                <w:smallCaps w:val="false"/>
                <w:color w:val="000000"/>
                <w:spacing w:val="0"/>
                <w:sz w:val="28"/>
                <w:szCs w:val="28"/>
                <w:highlight w:val="white"/>
                <w:u w:val="none"/>
                <w:shd w:fill="FFFFFF" w:val="clear"/>
                <w:lang w:val="uk-UA" w:eastAsia="zh-CN" w:bidi="ar-SA"/>
              </w:rPr>
              <w:t>12. Протягом п'ятнадцяти робочих днів з дати отримання повернутого Департаментом рішення щодо результатів конкурсного відбору на повторний розгляд (в разі такого повернення), конкурсна комісія:</w:t>
            </w:r>
          </w:p>
          <w:p>
            <w:pPr>
              <w:pStyle w:val="Normal"/>
              <w:spacing w:lineRule="auto" w:line="240" w:before="0" w:after="0"/>
              <w:ind w:firstLine="318"/>
              <w:jc w:val="both"/>
              <w:rPr>
                <w:b/>
                <w:b/>
                <w:bCs/>
                <w:i/>
                <w:i/>
                <w:iCs/>
                <w:sz w:val="28"/>
                <w:szCs w:val="28"/>
              </w:rPr>
            </w:pPr>
            <w:r>
              <w:rPr>
                <w:b/>
                <w:bCs/>
                <w:i/>
                <w:iCs/>
                <w:sz w:val="28"/>
                <w:szCs w:val="28"/>
                <w:lang w:val="uk-UA"/>
              </w:rPr>
              <w:t>1) підтверджує раніше прийняте рішення щодо результатів конкурсного відбору;</w:t>
            </w:r>
          </w:p>
          <w:p>
            <w:pPr>
              <w:pStyle w:val="Normal"/>
              <w:spacing w:lineRule="auto" w:line="240" w:before="0" w:after="0"/>
              <w:ind w:firstLine="318"/>
              <w:jc w:val="both"/>
              <w:rPr>
                <w:b/>
                <w:b/>
                <w:bCs/>
                <w:i/>
                <w:i/>
                <w:iCs/>
                <w:sz w:val="28"/>
                <w:szCs w:val="28"/>
              </w:rPr>
            </w:pPr>
            <w:r>
              <w:rPr>
                <w:b/>
                <w:bCs/>
                <w:i/>
                <w:iCs/>
                <w:sz w:val="28"/>
                <w:szCs w:val="28"/>
                <w:lang w:val="uk-UA"/>
              </w:rPr>
              <w:t>2) переглядає раніше прийняте рішення щодо результатів конкурсного відбору та надає кандидатуру іншого претендента.</w:t>
            </w:r>
          </w:p>
          <w:p>
            <w:pPr>
              <w:pStyle w:val="Normal"/>
              <w:spacing w:lineRule="auto" w:line="240" w:before="0" w:after="0"/>
              <w:ind w:firstLine="318"/>
              <w:jc w:val="both"/>
              <w:rPr>
                <w:b/>
                <w:b/>
                <w:bCs/>
                <w:i/>
                <w:i/>
                <w:iCs/>
                <w:sz w:val="28"/>
                <w:szCs w:val="28"/>
              </w:rPr>
            </w:pPr>
            <w:r>
              <w:rPr>
                <w:b/>
                <w:bCs/>
                <w:i/>
                <w:iCs/>
                <w:sz w:val="28"/>
                <w:szCs w:val="28"/>
                <w:lang w:val="uk-UA"/>
              </w:rPr>
              <w:t>Якщо за результатами повторного розгляду конкурсна комісія приймає рішення про підтвердження раніше прийнятого рішення, директор Департаменту невідкладно призначає визначеного конкурсною комісією претендента на посаду керівника навчального закладу шляхом укладення з ним контракту із дотриманням вимог законодавства України про працю.</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b/>
                <w:bCs/>
                <w:i/>
                <w:iCs/>
                <w:caps w:val="false"/>
                <w:smallCaps w:val="false"/>
                <w:color w:val="000000"/>
                <w:spacing w:val="0"/>
                <w:sz w:val="28"/>
                <w:szCs w:val="28"/>
                <w:highlight w:val="white"/>
                <w:u w:val="none"/>
                <w:shd w:fill="FFFFFF" w:val="clear"/>
                <w:lang w:val="uk-UA" w:eastAsia="zh-CN" w:bidi="ar-SA"/>
              </w:rPr>
              <w:t>Якщо за результатами повторного розгляду конкурсна комісія надає кандидатуру іншого претендента, призначення цього претендента на посаду керівника навчального закладу відбувається в порядку, визначеному пунктами 11, 12 цього Порядку.”</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Підтримати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пропозицію  депутата Київської міської ради Л.Антонєнка до пункту 12.</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ГОЛОСУВАЛИ: </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–3, проти – немає, утрималось –2.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УХВАЛИЛИ:</w:t>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Відхилити пропозицію</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депутата Київської міської ради Л.Антонєнка до пункту 12.</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ГОЛОСУВАЛИ: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–немає, проти – 3, утрималось –2.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bidi w:val="0"/>
              <w:spacing w:lineRule="auto" w:line="240"/>
              <w:ind w:left="0" w:right="0" w:firstLine="283"/>
              <w:jc w:val="left"/>
              <w:rPr/>
            </w:pPr>
            <w:r>
              <w:rPr>
                <w:sz w:val="28"/>
                <w:szCs w:val="28"/>
                <w:lang w:val="uk-UA" w:bidi="ar-SA"/>
              </w:rPr>
              <w:t>1) Підтримати проект рішення К</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иївської міської ради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до ІІ читання .</w:t>
            </w:r>
          </w:p>
          <w:p>
            <w:pPr>
              <w:pStyle w:val="Normal"/>
              <w:bidi w:val="0"/>
              <w:spacing w:lineRule="auto" w:line="240"/>
              <w:ind w:left="0" w:right="0" w:firstLine="283"/>
              <w:jc w:val="left"/>
              <w:rPr/>
            </w:pPr>
            <w:r>
              <w:rPr>
                <w:sz w:val="28"/>
                <w:szCs w:val="28"/>
                <w:lang w:val="uk-UA" w:bidi="ar-SA"/>
              </w:rPr>
              <w:t xml:space="preserve">2) Доручити Департаменту освіти і науки, молоді та спорту виконавчого органу Київської міської ради (КМДА) опрацювати можливість залучення представників учнівського самоврядування до процесу проведення конкурсного відбору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керівників дошкільних та загальноосвітніх навчальних закладів комунальної власності територіальної громади міста Києва.</w:t>
            </w:r>
          </w:p>
          <w:p>
            <w:pPr>
              <w:pStyle w:val="Normal"/>
              <w:bidi w:val="0"/>
              <w:spacing w:lineRule="auto" w:line="240"/>
              <w:ind w:left="0" w:right="0" w:firstLine="283"/>
              <w:jc w:val="left"/>
              <w:rPr/>
            </w:pPr>
            <w:r>
              <w:rPr>
                <w:sz w:val="28"/>
                <w:szCs w:val="28"/>
                <w:lang w:val="uk-UA" w:bidi="ar-SA"/>
              </w:rPr>
              <w:t xml:space="preserve">3) Доручити Департаменту освіти і науки, молоді та спорту виконавчого органу Київської міської ради (КМДА) опрацювати можливість створення бази даних щодо представників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конкурсної комісії по відбору керівників дошкільних та загальноосвітніх навчальних закладів комунальної власності територіальної громади міста Києва, а також забезпечення матеріально-технічними засобами для автоматичного режиму для виявлення кандидатів у склад конкурсної комісії.</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bookmarkStart w:id="0" w:name="__DdeLink__4849_1942424965"/>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Рішення  </w:t>
            </w:r>
            <w:bookmarkEnd w:id="0"/>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прийнято.</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pPr>
            <w:r>
              <w:rPr>
                <w:sz w:val="28"/>
                <w:szCs w:val="28"/>
                <w:lang w:val="uk-UA" w:bidi="ar-SA"/>
              </w:rPr>
              <w:t xml:space="preserve">Васильчука В.В. - депутата Київської міської ради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включення до бюджету м.Києва коштів у сумі 2 млн.500 тис. грн на заходи національно-патріотичного та військово-патріотичного виховання дітей та молоді м. Києва в рамках відзнаки Року Української революції 1917-1921 років та Днем захисника України.</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pPr>
            <w:r>
              <w:rPr>
                <w:sz w:val="28"/>
                <w:szCs w:val="28"/>
                <w:lang w:val="uk-UA" w:bidi="ar-SA"/>
              </w:rPr>
              <w:t>Фіданян О.Г., Старостенко Г.В., Васильчук В.В.</w:t>
            </w:r>
          </w:p>
          <w:p>
            <w:pPr>
              <w:pStyle w:val="Normal"/>
              <w:spacing w:lineRule="auto" w:line="240"/>
              <w:ind w:hanging="0"/>
              <w:rPr>
                <w:sz w:val="28"/>
                <w:szCs w:val="28"/>
                <w:lang w:val="uk-UA" w:bidi="ar-SA"/>
              </w:rPr>
            </w:pPr>
            <w:r>
              <w:rPr>
                <w:sz w:val="28"/>
                <w:szCs w:val="28"/>
                <w:lang w:val="uk-UA" w:bidi="ar-SA"/>
              </w:rPr>
            </w:r>
          </w:p>
          <w:p>
            <w:pPr>
              <w:pStyle w:val="Normal"/>
              <w:bidi w:val="0"/>
              <w:spacing w:lineRule="auto" w:line="240"/>
              <w:ind w:left="0" w:right="0" w:firstLine="283"/>
              <w:jc w:val="left"/>
              <w:rPr/>
            </w:pPr>
            <w:r>
              <w:rPr>
                <w:sz w:val="28"/>
                <w:szCs w:val="28"/>
                <w:lang w:val="uk-UA" w:bidi="ar-SA"/>
              </w:rPr>
              <w:t xml:space="preserve">1) Підтримати звернення депутата Київської міської ради В.Васильчуку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включення до бюджету м.Києва коштів у сумі 2 млн.500 тис. грн на заходи національно-патріотичного та військово-патріотичного виховання дітей та молоді м. Києва в рамках відзнаки Року Української революції 1917-1921 років та Днем захисника України.</w:t>
            </w:r>
          </w:p>
          <w:p>
            <w:pPr>
              <w:pStyle w:val="Normal"/>
              <w:bidi w:val="0"/>
              <w:spacing w:lineRule="auto" w:line="240"/>
              <w:ind w:left="0" w:right="0" w:firstLine="283"/>
              <w:jc w:val="left"/>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 Рекомендувати депутату Київської міської ради В.Васильчуку разом з Департаментом освіти і науки, молоді та спорту виконавчого органу Київської міської ради (КМДА)  надати пропозиції по заходам  національно-патріотичного та військово-патріотичного виховання дітей та молоді м. Києва.</w:t>
            </w:r>
          </w:p>
          <w:p>
            <w:pPr>
              <w:pStyle w:val="Normal"/>
              <w:bidi w:val="0"/>
              <w:spacing w:lineRule="auto" w:line="240"/>
              <w:ind w:left="0" w:right="0" w:firstLine="283"/>
              <w:jc w:val="left"/>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spacing w:lineRule="auto" w:line="240"/>
              <w:ind w:hanging="0"/>
              <w:rPr>
                <w:sz w:val="28"/>
                <w:szCs w:val="28"/>
                <w:lang w:val="uk-UA" w:bidi="ar-SA"/>
              </w:rPr>
            </w:pPr>
            <w:r>
              <w:rPr>
                <w:sz w:val="28"/>
                <w:szCs w:val="28"/>
                <w:lang w:val="uk-UA"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lang w:val="uk-UA" w:bidi="ar-SA"/>
              </w:rPr>
            </w:pPr>
            <w:r>
              <w:rPr>
                <w:sz w:val="28"/>
                <w:szCs w:val="28"/>
                <w:lang w:val="uk-UA" w:bidi="ar-SA"/>
              </w:rPr>
              <w:t>комісії                                                                  Г.Старостенко</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bookmarkStart w:id="1" w:name="__UnoMark__4851_1942424965"/>
            <w:bookmarkStart w:id="2" w:name="__UnoMark__4851_1942424965"/>
            <w:bookmarkEnd w:id="2"/>
            <w:r>
              <w:rPr>
                <w:sz w:val="28"/>
                <w:szCs w:val="28"/>
                <w:lang w:val="uk-UA" w:bidi="ar-SA"/>
              </w:rPr>
            </w:r>
          </w:p>
          <w:p>
            <w:pPr>
              <w:pStyle w:val="Normal"/>
              <w:spacing w:lineRule="auto" w:line="240"/>
              <w:ind w:hanging="0"/>
              <w:rPr>
                <w:lang w:val="uk-UA" w:bidi="ar-SA"/>
              </w:rPr>
            </w:pPr>
            <w:r>
              <w:rPr>
                <w:sz w:val="28"/>
                <w:szCs w:val="28"/>
                <w:lang w:val="uk-UA" w:bidi="ar-SA"/>
              </w:rPr>
              <w:t>комісії                                                                    Н. Шульга</w:t>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Heading 1"/>
    <w:basedOn w:val="Style14"/>
    <w:qFormat/>
    <w:rsid w:val="008b3a0e"/>
    <w:pPr>
      <w:outlineLvl w:val="0"/>
    </w:pPr>
    <w:rPr>
      <w:b/>
      <w:bCs/>
      <w:sz w:val="36"/>
      <w:szCs w:val="36"/>
    </w:rPr>
  </w:style>
  <w:style w:type="paragraph" w:styleId="2">
    <w:name w:val="Heading 2"/>
    <w:basedOn w:val="Normal"/>
    <w:qFormat/>
    <w:rsid w:val="008b3a0e"/>
    <w:pPr>
      <w:spacing w:before="280" w:after="280"/>
      <w:ind w:hanging="0"/>
      <w:jc w:val="left"/>
      <w:outlineLvl w:val="1"/>
    </w:pPr>
    <w:rPr>
      <w:b/>
      <w:bCs/>
      <w:sz w:val="36"/>
      <w:szCs w:val="36"/>
    </w:rPr>
  </w:style>
  <w:style w:type="paragraph" w:styleId="3">
    <w:name w:val="Heading 3"/>
    <w:basedOn w:val="Normal"/>
    <w:qFormat/>
    <w:rsid w:val="008b3a0e"/>
    <w:pPr>
      <w:keepNext/>
      <w:spacing w:before="240" w:after="60"/>
      <w:outlineLvl w:val="2"/>
    </w:pPr>
    <w:rPr>
      <w:rFonts w:ascii="Cambria" w:hAnsi="Cambria"/>
      <w:b/>
      <w:bCs/>
      <w:sz w:val="26"/>
      <w:szCs w:val="26"/>
    </w:rPr>
  </w:style>
  <w:style w:type="paragraph" w:styleId="5">
    <w:name w:val="Heading 5"/>
    <w:basedOn w:val="Style14"/>
    <w:qFormat/>
    <w:rsid w:val="008b3a0e"/>
    <w:pPr>
      <w:spacing w:before="120" w:after="60"/>
      <w:outlineLvl w:val="4"/>
    </w:pPr>
    <w:rPr>
      <w:rFonts w:ascii="Liberation Serif" w:hAnsi="Liberation Serif" w:eastAsia="SimSun"/>
      <w:b/>
      <w:bCs/>
      <w:sz w:val="20"/>
      <w:szCs w:val="20"/>
    </w:rPr>
  </w:style>
  <w:style w:type="paragraph" w:styleId="6">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Pr>
      <w:i/>
      <w:iCs/>
    </w:rPr>
  </w:style>
  <w:style w:type="character" w:styleId="ListLabel1">
    <w:name w:val="ListLabel 1"/>
    <w:qFormat/>
    <w:rPr>
      <w:color w:val="000000"/>
    </w:rPr>
  </w:style>
  <w:style w:type="character" w:styleId="Style13">
    <w:name w:val="Выделение жирным"/>
    <w:qFormat/>
    <w:rPr>
      <w:b/>
      <w:bCs/>
    </w:rPr>
  </w:style>
  <w:style w:type="paragraph" w:styleId="Style14" w:customStyle="1">
    <w:name w:val="Заголовок"/>
    <w:basedOn w:val="Normal"/>
    <w:next w:val="Style15"/>
    <w:qFormat/>
    <w:rsid w:val="008b3a0e"/>
    <w:pPr>
      <w:keepNext/>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6">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qFormat/>
  </w:style>
  <w:style w:type="numbering" w:styleId="WW8Num2">
    <w:name w:val="WW8Num2"/>
    <w:qFormat/>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25200</TotalTime>
  <Application>LibreOffice/5.3.2.2$Windows_x86 LibreOffice_project/6cd4f1ef626f15116896b1d8e1398b56da0d0ee1</Application>
  <Pages>10</Pages>
  <Words>1972</Words>
  <Characters>13701</Characters>
  <CharactersWithSpaces>16042</CharactersWithSpaces>
  <Paragraphs>163</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description/>
  <dc:language>ru-RU</dc:language>
  <cp:lastModifiedBy/>
  <cp:lastPrinted>2017-05-23T11:08:24Z</cp:lastPrinted>
  <dcterms:modified xsi:type="dcterms:W3CDTF">2017-10-09T10:10:48Z</dcterms:modified>
  <cp:revision>408</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