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uk-UA"/>
        </w:rPr>
        <w:t>20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uk-UA"/>
        </w:rPr>
        <w:t>61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Про реєстрацію уповноважених осіб </w:t>
      </w:r>
      <w:bookmarkStart w:id="0" w:name="__DdeLink__1173_750783541"/>
      <w:bookmarkStart w:id="1" w:name="__DdeLink__70_1137379709"/>
      <w:bookmarkStart w:id="2" w:name="__DdeLink__1499_5102660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</w:t>
      </w:r>
      <w:bookmarkEnd w:id="1"/>
      <w:bookmarkEnd w:id="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місцевої регіональної парторганізації Політичної партії “РУХ ЗА РЕФОРМИ”</w:t>
      </w:r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 у територіальних виборчих округах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19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bookmarkStart w:id="3" w:name="__DdeLink__70_11373797096"/>
      <w:bookmarkStart w:id="4" w:name="__DdeLink__1499_51026600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</w:t>
      </w:r>
      <w:bookmarkEnd w:id="3"/>
      <w:bookmarkEnd w:id="4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місцевої регіональної парторганізації Політичної партії “РУХ ЗА     РЕФОРМИ”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про реєстрацію уповноважених осіб у територіальних виборчих округах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територіальних виборчих округах на чергових виборах депутатів Київської міської ради та Київського міського голови 25 жовтня 2015 року від </w:t>
      </w:r>
      <w:bookmarkStart w:id="5" w:name="__DdeLink__70_11373797098"/>
      <w:bookmarkStart w:id="6" w:name="__DdeLink__1499_510266007"/>
      <w:bookmarkStart w:id="7" w:name="__DdeLink__614_60484229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</w:t>
      </w:r>
      <w:bookmarkEnd w:id="5"/>
      <w:bookmarkEnd w:id="6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місцевої регіональної парторганізації Політичної партії “РУХ ЗА РЕФОРМИ”</w:t>
      </w:r>
      <w:bookmarkEnd w:id="7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(згідно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Д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>одатку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):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bookmarkStart w:id="8" w:name="__DdeLink__70_113737970910"/>
      <w:bookmarkStart w:id="9" w:name="__DdeLink__1499_510266009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</w:t>
      </w:r>
      <w:bookmarkEnd w:id="8"/>
      <w:bookmarkEnd w:id="9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місцевої регіональної парторганізації Політичної партії “РУХ ЗА РЕФОРМИ”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2015-10-20T16:06:15Z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