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«23»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uk-UA"/>
        </w:rPr>
        <w:t>9</w:t>
      </w:r>
      <w:r>
        <w:rPr>
          <w:rFonts w:cs="Times New Roman" w:ascii="Times New Roman" w:hAnsi="Times New Roman"/>
          <w:b/>
          <w:lang w:val="uk-UA"/>
        </w:rPr>
        <w:t>7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Про реєстрацію уповноважених осіб </w:t>
      </w:r>
      <w:bookmarkStart w:id="0" w:name="__DdeLink__1173_75078354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“ПАРТІЯ РІШУЧИХ ГРОМАДЯН”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  у територіальних виборчих округах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«22»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“ПАРТІЯ РІШУЧИХ ГРОМАДЯН”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на чергових виборах депутатів Київської міської ради та Київського міського голови 25 жовтня 2015 року від </w:t>
      </w:r>
      <w:bookmarkStart w:id="1" w:name="__DdeLink__614_60484229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“ПАРТІЯ РІШУЧИХ ГРОМАДЯН”</w:t>
      </w:r>
      <w:bookmarkEnd w:id="1"/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(згідно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ru-RU" w:eastAsia="ru-RU"/>
        </w:rPr>
        <w:t>одатку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val="uk-UA" w:eastAsia="ru-RU"/>
        </w:rPr>
        <w:t>):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Київської міської організації Політичної Партії “ПАРТІЯ РІШУЧИХ ГРОМАДЯН”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2015-10-22T18:14:05Z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