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«23»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9</w:t>
      </w:r>
      <w:r>
        <w:rPr>
          <w:rFonts w:cs="Times New Roman" w:ascii="Times New Roman" w:hAnsi="Times New Roman"/>
          <w:b/>
          <w:lang w:val="uk-UA"/>
        </w:rPr>
        <w:t>1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Про реєстрацію уповноважених осіб Регіональної Київської міської організації Політичної партії “Громадянська позиція” у територіальних виборчих округах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«21»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Київської міської організації Політичної партії “Громадянська позиція”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0" w:name="__DdeLink__614_60484229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Київської міської організації Політичної партії “Громадянська позиція”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(згідно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>одатку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):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Київської міської організації Політичної партії “Громадянська позиція”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2015-10-22T12:25:56Z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