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</w:t>
      </w:r>
      <w:r>
        <w:rPr>
          <w:rFonts w:cs="Times New Roman" w:ascii="Times New Roman" w:hAnsi="Times New Roman"/>
          <w:b/>
          <w:lang w:val="uk-UA"/>
        </w:rPr>
        <w:t>3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89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Про реєстрацію уповноважених осіб </w:t>
      </w:r>
      <w:bookmarkStart w:id="0" w:name="__DdeLink__70_1137379709"/>
      <w:bookmarkStart w:id="1" w:name="__DdeLink__1499_5102660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bookmarkEnd w:id="0"/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 у територіальних виборчих округах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територіальних виборчих округах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територіальних виборчих округах на чергових виборах депутатів Київської міської ради та Київського міського голови 25 жовтня 2015 року від </w:t>
      </w:r>
      <w:bookmarkStart w:id="2" w:name="__DdeLink__614_60484229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bookmarkEnd w:id="2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(згідно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Д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>одатку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):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2015-10-22T12:19:03Z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