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86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г</w:t>
      </w:r>
      <w:bookmarkStart w:id="0" w:name="__DdeLink__76_4641910313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ромадськ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організаці</w:t>
      </w:r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“Громад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ян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ська мережа”ОПОРА”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2015 року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надійшло подання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г</w:t>
      </w:r>
      <w:bookmarkStart w:id="1" w:name="__DdeLink__76_46419103134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ромадськ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організаці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“Громад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ян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ська мережа”ОПОРА”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13 частини 5 статті 25, частинами 1, 4-6, 8 статті 66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 </w:t>
      </w:r>
      <w:bookmarkStart w:id="2" w:name="_GoBack"/>
      <w:bookmarkEnd w:id="2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г</w:t>
      </w:r>
      <w:bookmarkStart w:id="3" w:name="__DdeLink__76_46419103135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ромадськ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організаці</w:t>
      </w:r>
      <w:bookmarkEnd w:id="3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“Громад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ян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ська мережа”ОПОРА”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г</w:t>
      </w:r>
      <w:bookmarkStart w:id="4" w:name="__DdeLink__76_4641910313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ромадськ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організаці</w:t>
      </w:r>
      <w:bookmarkEnd w:id="4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“Громад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ян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ська мережа”ОПОРА”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853716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2015-09-25T06:52:00Z</dcterms:created>
  <dc:creator>users</dc:creator>
  <dc:language>ru-RU</dc:language>
  <dcterms:modified xsi:type="dcterms:W3CDTF">2015-10-21T15:12:16Z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