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bookmarkStart w:id="0" w:name="__DdeLink__5208_1137621541"/>
      <w:bookmarkEnd w:id="0"/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bookmarkStart w:id="1" w:name="__DdeLink__5208_1137621541"/>
      <w:bookmarkStart w:id="2" w:name="__DdeLink__5208_1137621541"/>
      <w:bookmarkEnd w:id="2"/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«29»вересня2015 року</w:t>
        <w:tab/>
        <w:tab/>
        <w:tab/>
        <w:tab/>
        <w:tab/>
        <w:tab/>
        <w:tab/>
        <w:t xml:space="preserve">  </w:t>
        <w:tab/>
        <w:t>№6</w:t>
      </w:r>
      <w:r>
        <w:rPr>
          <w:rFonts w:cs="Times New Roman" w:ascii="Times New Roman" w:hAnsi="Times New Roman"/>
          <w:b/>
          <w:lang w:val="uk-UA"/>
        </w:rPr>
        <w:t>3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Партійна організація міста Києва Політичної партії “Партія місцевого самоврядування”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29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Партійна організація міста Києва Політичної партії “Партія місцевого самоврядування”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3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3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Партійна організація міста Києва Політичної партії “Партія місцевого самоврядування”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Стрілець Олені Віталіївні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Стрілець Олені Віталіївні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62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cp:lastPrinted>2015-09-29T17:48:00Z</cp:lastPrinted>
  <dcterms:modified xsi:type="dcterms:W3CDTF">2015-09-29T18:09:41Z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