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rFonts w:cs="Times New Roman" w:ascii="Times New Roman" w:hAnsi="Times New Roman"/>
          <w:sz w:val="28"/>
          <w:szCs w:val="28"/>
          <w:lang w:val="en-US" w:eastAsia="ru-RU"/>
        </w:rPr>
        <w:drawing>
          <wp:inline distT="0" distB="0" distL="0" distR="0">
            <wp:extent cx="571500" cy="762000"/>
            <wp:effectExtent l="0" t="0" r="0" b="0"/>
            <wp:docPr id="1" name="Графический объект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афический объект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  <w:t>ЧЕРГОВІ МІСЦЕВІ ВИБОРИ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  <w:t>25 жовтня 2015</w:t>
      </w:r>
    </w:p>
    <w:p>
      <w:pPr>
        <w:pStyle w:val="Normal"/>
        <w:spacing w:lineRule="auto" w:line="240" w:before="0" w:after="0"/>
        <w:ind w:left="0" w:right="0"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КИЇВСЬКА МІСЬКА ВИБОРЧА КОМІСІЯ</w:t>
      </w:r>
    </w:p>
    <w:p>
      <w:pPr>
        <w:pStyle w:val="Normal"/>
        <w:tabs>
          <w:tab w:val="left" w:pos="9356" w:leader="none"/>
        </w:tabs>
        <w:spacing w:lineRule="auto" w:line="240" w:before="0" w:after="0"/>
        <w:ind w:left="0" w:right="0" w:firstLine="709"/>
        <w:jc w:val="center"/>
        <w:rPr>
          <w:rFonts w:ascii="Times New Roman" w:hAnsi="Times New Roman" w:cs="Times New Roman"/>
          <w:b/>
          <w:b/>
          <w:sz w:val="24"/>
          <w:szCs w:val="24"/>
          <w:highlight w:val="white"/>
        </w:rPr>
      </w:pPr>
      <w:r>
        <w:rPr>
          <w:rFonts w:cs="Arial" w:ascii="Arial" w:hAnsi="Arial"/>
          <w:b/>
          <w:sz w:val="24"/>
          <w:szCs w:val="24"/>
          <w:shd w:fill="FFFFFF" w:val="clear"/>
          <w:lang w:val="uk-UA"/>
        </w:rPr>
        <w:t>м. Київ, вул. Хрещатик, 36</w:t>
      </w:r>
    </w:p>
    <w:p>
      <w:pPr>
        <w:pStyle w:val="Standard"/>
        <w:jc w:val="both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both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both"/>
        <w:rPr/>
      </w:pPr>
      <w:r>
        <w:rPr>
          <w:rFonts w:cs="Times New Roman" w:ascii="Times New Roman" w:hAnsi="Times New Roman"/>
          <w:b/>
          <w:lang w:val="uk-UA"/>
        </w:rPr>
        <w:t>«28»вересня 2015 року</w:t>
        <w:tab/>
        <w:tab/>
        <w:tab/>
        <w:tab/>
        <w:tab/>
        <w:tab/>
        <w:tab/>
        <w:t xml:space="preserve">  </w:t>
        <w:tab/>
        <w:tab/>
        <w:tab/>
        <w:t>№51</w:t>
      </w:r>
    </w:p>
    <w:p>
      <w:pPr>
        <w:pStyle w:val="Standard"/>
        <w:jc w:val="both"/>
        <w:rPr/>
      </w:pPr>
      <w:bookmarkStart w:id="0" w:name="__DdeLink__5875_1512756201"/>
      <w:bookmarkEnd w:id="0"/>
      <w:r>
        <w:rPr>
          <w:rFonts w:cs="Times New Roman" w:ascii="Times New Roman" w:hAnsi="Times New Roman"/>
          <w:b/>
          <w:lang w:val="uk-UA"/>
        </w:rPr>
        <w:t>18год.00 хв.</w:t>
      </w:r>
    </w:p>
    <w:p>
      <w:pPr>
        <w:pStyle w:val="Normal"/>
        <w:jc w:val="both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уповноважених осіб Тер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и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торіальної організації </w:t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ПАРТІЇ “БЛОК ПЕТРА ПОРОШЕНКА “СОЛІДАРНІСТЬ”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в місті Києві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територіальних виборчих округах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з виборів депутатів Київської міської ради на місцевих виборах 25 жовтня 2015 року</w:t>
      </w:r>
    </w:p>
    <w:p>
      <w:pPr>
        <w:pStyle w:val="Standard"/>
        <w:jc w:val="both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«28» вересня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     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Тер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и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торіальної організації ПАРТІЇ “БЛОК ПЕТРА ПОРОШЕНКА                        “СОЛІДАРНІСТЬ”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в місті Києві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територіальних виборчих округах з виборів депутатів Київської міської ради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       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від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Тер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и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торіальної організації ПАРТІЇ “БЛОК ПЕТРА    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                  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ПОРОШЕНКА “СОЛІДАРНІСТЬ”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в місті Києві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уповноважени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х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ос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іб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у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територіальних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виборч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их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окру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гах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на чергових виборах депутатів Київської міської ради та Київського міського голови 25 жовтня 2015 року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згідно з Додатком.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Тер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и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торіальної організації ПАРТІЇ “БЛОК ПЕТРА    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                  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ПОРОШЕНКА “СОЛІДАРНІСТЬ”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в місті Києві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304" w:right="567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dcterms:modified xsi:type="dcterms:W3CDTF">2015-09-29T16:40:15Z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