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 вересня 2015 року</w:t>
        <w:tab/>
        <w:tab/>
        <w:tab/>
        <w:tab/>
        <w:tab/>
        <w:tab/>
        <w:tab/>
        <w:t xml:space="preserve">  </w:t>
        <w:tab/>
        <w:t>№ 47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Київської міської регіональної парторганізації ПОЛІТИЧНОЇ ПАРТІЇ «ВІДРОДЖЕННЯ УКРАЇНИ»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Київська міська регіональна парторганізація ПОЛІТИЧНОЇ ПАРТ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ІЇ «ВІДРОДЖЕННЯ УКРАЇНИ»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 Постановою ЦВК № 239 д.1.1. від 09.09.2015 р., Постановою ЦВК № 362 від 23.09. 2015 р.,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Київської міської регіональної парторганізації ПОЛІТИЧНОЇ ПАРТІЇ «ВІДРОДЖЕННЯ УКРАЇНИ»,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Київської міської регіональної парторганізації ПОЛІТИЧНОЇ ПАРТІЇ «ВІДРОДЖЕННЯ УКРАЇНИ».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Київської міської регіональної парторганізації ПОЛІТИЧНОЇ ПАРТІЇ «ВІДРОДЖЕННЯ УКРАЇНИ»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  <w:tab/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707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2015-09-28T10:19:00Z</dcterms:created>
  <dc:creator>users</dc:creator>
  <dc:language>ru-RU</dc:language>
  <dcterms:modified xsi:type="dcterms:W3CDTF">2015-09-29T08:51:19Z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