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52" w:rsidRDefault="00260752" w:rsidP="00260752">
      <w:pPr>
        <w:jc w:val="both"/>
        <w:rPr>
          <w:rFonts w:ascii="Times New Roman" w:hAnsi="Times New Roman"/>
          <w:b/>
          <w:bCs/>
          <w:color w:val="22682F"/>
          <w:sz w:val="44"/>
          <w:szCs w:val="44"/>
          <w:u w:color="22682F"/>
        </w:rPr>
      </w:pPr>
    </w:p>
    <w:p w:rsidR="00260752" w:rsidRPr="00163F59" w:rsidRDefault="00260752" w:rsidP="00260752">
      <w:pPr>
        <w:rPr>
          <w:rFonts w:ascii="Times New Roman" w:hAnsi="Times New Roman" w:cs="Times New Roman"/>
        </w:rPr>
      </w:pPr>
      <w:r w:rsidRPr="00163F59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62336" behindDoc="1" locked="0" layoutInCell="1" allowOverlap="1" wp14:anchorId="52DFDE9B" wp14:editId="716BCC6D">
            <wp:simplePos x="0" y="0"/>
            <wp:positionH relativeFrom="column">
              <wp:posOffset>0</wp:posOffset>
            </wp:positionH>
            <wp:positionV relativeFrom="page">
              <wp:posOffset>718820</wp:posOffset>
            </wp:positionV>
            <wp:extent cx="1122045" cy="110934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752" w:rsidRPr="00163F59" w:rsidRDefault="00260752" w:rsidP="00260752">
      <w:pPr>
        <w:rPr>
          <w:rFonts w:ascii="Times New Roman" w:hAnsi="Times New Roman" w:cs="Times New Roman"/>
        </w:rPr>
      </w:pPr>
    </w:p>
    <w:p w:rsidR="00260752" w:rsidRPr="00163F59" w:rsidRDefault="00260752" w:rsidP="00260752">
      <w:pPr>
        <w:rPr>
          <w:rFonts w:ascii="Times New Roman" w:hAnsi="Times New Roman" w:cs="Times New Roman"/>
        </w:rPr>
      </w:pPr>
    </w:p>
    <w:p w:rsidR="00260752" w:rsidRPr="00163F59" w:rsidRDefault="00260752" w:rsidP="00260752">
      <w:pPr>
        <w:rPr>
          <w:rFonts w:ascii="Times New Roman" w:hAnsi="Times New Roman" w:cs="Times New Roman"/>
        </w:rPr>
      </w:pPr>
    </w:p>
    <w:p w:rsidR="00260752" w:rsidRPr="00163F59" w:rsidRDefault="00260752" w:rsidP="00260752">
      <w:pPr>
        <w:rPr>
          <w:rFonts w:ascii="Times New Roman" w:hAnsi="Times New Roman" w:cs="Times New Roman"/>
        </w:rPr>
      </w:pPr>
    </w:p>
    <w:p w:rsidR="00260752" w:rsidRPr="00163F59" w:rsidRDefault="00260752" w:rsidP="00260752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  <w:r w:rsidRPr="00163F59">
        <w:rPr>
          <w:rFonts w:ascii="Times New Roman" w:hAnsi="Times New Roman" w:cs="Times New Roman"/>
          <w:lang w:val="uk-UA"/>
        </w:rPr>
        <w:tab/>
      </w:r>
    </w:p>
    <w:p w:rsidR="00260752" w:rsidRPr="00163F59" w:rsidRDefault="00260752" w:rsidP="00260752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</w:p>
    <w:p w:rsidR="00260752" w:rsidRPr="00163F59" w:rsidRDefault="00260752" w:rsidP="00260752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</w:p>
    <w:p w:rsidR="00260752" w:rsidRPr="00163F59" w:rsidRDefault="00260752" w:rsidP="00260752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 w:rsidRPr="00163F59">
        <w:rPr>
          <w:rFonts w:ascii="Times New Roman" w:hAnsi="Times New Roman" w:cs="Times New Roman"/>
          <w:b/>
          <w:sz w:val="52"/>
          <w:szCs w:val="52"/>
          <w:lang w:val="uk-UA"/>
        </w:rPr>
        <w:t>З</w:t>
      </w:r>
      <w:r w:rsidRPr="00163F59">
        <w:rPr>
          <w:rFonts w:ascii="Times New Roman" w:hAnsi="Times New Roman" w:cs="Times New Roman"/>
          <w:b/>
          <w:bCs/>
          <w:sz w:val="52"/>
          <w:szCs w:val="52"/>
          <w:lang w:val="uk-UA"/>
        </w:rPr>
        <w:t>віт</w:t>
      </w:r>
    </w:p>
    <w:p w:rsidR="00260752" w:rsidRPr="00163F59" w:rsidRDefault="00260752" w:rsidP="00260752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sz w:val="40"/>
          <w:szCs w:val="40"/>
          <w:lang w:val="uk-UA"/>
        </w:rPr>
        <w:t>депутата Київської міської ради VIII скликання</w:t>
      </w:r>
    </w:p>
    <w:p w:rsidR="00260752" w:rsidRPr="00163F59" w:rsidRDefault="00260752" w:rsidP="00260752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sz w:val="40"/>
          <w:szCs w:val="40"/>
          <w:lang w:val="uk-UA"/>
        </w:rPr>
        <w:t>члена депутатської групи «Київська команда»</w:t>
      </w:r>
    </w:p>
    <w:p w:rsidR="00260752" w:rsidRPr="00163F59" w:rsidRDefault="00260752" w:rsidP="00260752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uk-UA"/>
        </w:rPr>
        <w:t>Вахеля Юрія Володимировича</w:t>
      </w:r>
    </w:p>
    <w:p w:rsidR="00260752" w:rsidRPr="00163F59" w:rsidRDefault="00260752" w:rsidP="00260752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noProof/>
          <w:sz w:val="40"/>
          <w:szCs w:val="40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E75EC" wp14:editId="274EB02F">
                <wp:simplePos x="0" y="0"/>
                <wp:positionH relativeFrom="column">
                  <wp:posOffset>657225</wp:posOffset>
                </wp:positionH>
                <wp:positionV relativeFrom="paragraph">
                  <wp:posOffset>403225</wp:posOffset>
                </wp:positionV>
                <wp:extent cx="4620895" cy="13970"/>
                <wp:effectExtent l="19050" t="19050" r="27305" b="24130"/>
                <wp:wrapNone/>
                <wp:docPr id="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0895" cy="139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87739" id="Прямая соединительная лини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31.75pt" to="415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" strokecolor="yellow" strokeweight="3pt"/>
            </w:pict>
          </mc:Fallback>
        </mc:AlternateContent>
      </w:r>
      <w:r w:rsidRPr="00163F59">
        <w:rPr>
          <w:rFonts w:ascii="Times New Roman" w:hAnsi="Times New Roman" w:cs="Times New Roman"/>
          <w:sz w:val="40"/>
          <w:szCs w:val="40"/>
          <w:lang w:val="uk-UA"/>
        </w:rPr>
        <w:t>про виконання депутатських повноважень</w:t>
      </w:r>
    </w:p>
    <w:p w:rsidR="00260752" w:rsidRPr="00163F59" w:rsidRDefault="00260752" w:rsidP="00260752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63F59">
        <w:rPr>
          <w:rFonts w:ascii="Times New Roman" w:hAnsi="Times New Roman" w:cs="Times New Roman"/>
          <w:sz w:val="40"/>
          <w:szCs w:val="40"/>
        </w:rPr>
        <w:t>за період 01.12.2018 – 01.12.2019</w:t>
      </w:r>
    </w:p>
    <w:p w:rsidR="00260752" w:rsidRPr="00163F59" w:rsidRDefault="00260752" w:rsidP="00260752">
      <w:pPr>
        <w:rPr>
          <w:rFonts w:ascii="Times New Roman" w:hAnsi="Times New Roman" w:cs="Times New Roman"/>
        </w:rPr>
      </w:pPr>
      <w:r w:rsidRPr="00163F59">
        <w:rPr>
          <w:rFonts w:ascii="Times New Roman" w:hAnsi="Times New Roman" w:cs="Times New Roman"/>
          <w:noProof/>
          <w:sz w:val="40"/>
          <w:szCs w:val="40"/>
          <w:lang w:eastAsia="uk-UA"/>
        </w:rPr>
        <w:drawing>
          <wp:anchor distT="0" distB="0" distL="114300" distR="114300" simplePos="0" relativeHeight="251664384" behindDoc="1" locked="0" layoutInCell="1" allowOverlap="1" wp14:anchorId="10C9BF90" wp14:editId="26C6AB8A">
            <wp:simplePos x="0" y="0"/>
            <wp:positionH relativeFrom="page">
              <wp:align>right</wp:align>
            </wp:positionH>
            <wp:positionV relativeFrom="paragraph">
              <wp:posOffset>2290445</wp:posOffset>
            </wp:positionV>
            <wp:extent cx="1454150" cy="1511300"/>
            <wp:effectExtent l="0" t="0" r="0" b="0"/>
            <wp:wrapNone/>
            <wp:docPr id="6" name="Рисунок 6" descr="C:\Users\я\AppData\Local\Microsoft\Windows\INetCache\Content.Word\Аннотация 2020-01-12 14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AppData\Local\Microsoft\Windows\INetCache\Content.Word\Аннотация 2020-01-12 14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F59">
        <w:rPr>
          <w:rFonts w:ascii="Times New Roman" w:hAnsi="Times New Roman" w:cs="Times New Roman"/>
        </w:rPr>
        <w:br w:type="page"/>
      </w:r>
    </w:p>
    <w:p w:rsidR="005F1189" w:rsidRDefault="002607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413" w:lineRule="auto"/>
        <w:ind w:left="40" w:right="220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7"/>
          <w:szCs w:val="27"/>
          <w:lang w:eastAsia="uk-UA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918460" cy="2948305"/>
            <wp:effectExtent l="0" t="0" r="0" b="4445"/>
            <wp:wrapSquare wrapText="bothSides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819" cy="30095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33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Член депутатської групи «Київська команда» в Київській міській раді, юрист з більш ніж 20 річним досвідом роботи у провідних міжнародних компаніях, експерт з питань розвитку бізнесу та кризового управління, громадський активіст.</w:t>
      </w:r>
    </w:p>
    <w:p w:rsidR="005F1189" w:rsidRDefault="001343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413" w:lineRule="auto"/>
        <w:ind w:left="40" w:right="220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Свою трудові діяльність розпочав на початку 90-х у Львівському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науководослідному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 радіотехнічному інституті. Починаючи з 1995 року працював у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Coca-Cola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Beverages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, USAID,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Cargill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, AES,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Noble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Agri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 в Україні. На даний момент займається приватною юридичною практикою по консультуванню розвитку бізнесу.</w:t>
      </w:r>
    </w:p>
    <w:p w:rsidR="005F1189" w:rsidRDefault="005F1189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</w:p>
    <w:p w:rsidR="00260752" w:rsidRDefault="00134338" w:rsidP="002607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Вищу освіту здобув у Львівському політехнічному інституті та Львівському державному університеті ім. Івана Франка.</w:t>
      </w:r>
    </w:p>
    <w:p w:rsidR="00260752" w:rsidRDefault="00260752" w:rsidP="002607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</w:p>
    <w:p w:rsidR="005F1189" w:rsidRPr="00260752" w:rsidRDefault="00134338" w:rsidP="002607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Вступ</w:t>
      </w:r>
      <w:r w:rsidR="00260752" w:rsidRPr="0026075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p w:rsidR="005F1189" w:rsidRDefault="00134338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20" w:right="340"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Виконання повноважень депутата Київської міської ради, що, відповідно до законодавства України, здійснюється на громадських засадах, можна умовно розділити на наступні напрями:</w:t>
      </w:r>
    </w:p>
    <w:p w:rsidR="005F1189" w:rsidRDefault="00134338" w:rsidP="0095383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14"/>
        </w:tabs>
        <w:spacing w:after="0" w:line="360" w:lineRule="auto"/>
        <w:ind w:left="1140" w:hanging="280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Підтримка зв'язку з громадою. Розгляд пропозицій, заяв і скарг громадян;</w:t>
      </w:r>
    </w:p>
    <w:p w:rsidR="005F1189" w:rsidRDefault="00134338" w:rsidP="0095383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43"/>
        </w:tabs>
        <w:spacing w:after="0" w:line="360" w:lineRule="auto"/>
        <w:ind w:left="1140" w:hanging="280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Участь у засіданнях Київської міської ради та засіданнях постійної комісії до якої обрано депутата;</w:t>
      </w:r>
    </w:p>
    <w:p w:rsidR="005F1189" w:rsidRDefault="00134338" w:rsidP="0095383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8"/>
        </w:tabs>
        <w:spacing w:after="0" w:line="360" w:lineRule="auto"/>
        <w:ind w:left="1140" w:hanging="280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Участь в роботі інших органів Київської міської ради, робочих, експертних групах;</w:t>
      </w:r>
    </w:p>
    <w:p w:rsidR="005F1189" w:rsidRDefault="00134338" w:rsidP="0095383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8"/>
        </w:tabs>
        <w:spacing w:after="0" w:line="360" w:lineRule="auto"/>
        <w:ind w:left="20" w:firstLine="84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</w:t>
      </w:r>
      <w:r w:rsidR="00ED696C">
        <w:rPr>
          <w:rFonts w:ascii="Times New Roman" w:eastAsia="Times New Roman" w:hAnsi="Times New Roman" w:cs="Times New Roman"/>
          <w:color w:val="000000"/>
          <w:sz w:val="27"/>
          <w:szCs w:val="27"/>
        </w:rPr>
        <w:t>є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рішень.</w:t>
      </w:r>
    </w:p>
    <w:p w:rsidR="005F1189" w:rsidRDefault="00134338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20"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Всі напрямки роботи є однаково важливими і тому активна робота депутата на всіх вказаних ділянках однаково важлива для громадян.</w:t>
      </w:r>
    </w:p>
    <w:p w:rsidR="005F1189" w:rsidRDefault="005F1189" w:rsidP="009538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89" w:rsidRDefault="00134338" w:rsidP="009538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1. Підтримка зв’язку з громадою. Розгляд пропозицій, заяв і скарг громадян</w:t>
      </w:r>
    </w:p>
    <w:p w:rsidR="005F1189" w:rsidRDefault="00134338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20" w:right="40" w:firstLine="8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Для підтримки постійного зв'язку зі своїми виборцями та вчасного і дієвого реагування на потреби й проблеми мешканців Шевченківського району, Юрієм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Вахелем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було відкрито постійно працюючу громадську приймальню, одразу після набуття ним повноважень депутата міської ради. За </w:t>
      </w:r>
      <w:r w:rsidR="00C979B9">
        <w:rPr>
          <w:rFonts w:ascii="Times New Roman" w:eastAsia="Times New Roman" w:hAnsi="Times New Roman" w:cs="Times New Roman"/>
          <w:color w:val="000000"/>
          <w:sz w:val="27"/>
          <w:szCs w:val="27"/>
        </w:rPr>
        <w:t>третій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рік виконання Юрієм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Вахелем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депутатських повноважень було проведено 24 прийоми громадян, а також більше </w:t>
      </w:r>
      <w:r w:rsidR="0070358F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0 індивідуальних та колективних зустрічей з мешканцями</w:t>
      </w:r>
      <w:r w:rsidR="0070358F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як в межах Київської міської ради так і на проблемних об'єктах. </w:t>
      </w:r>
      <w:r w:rsidR="0070358F">
        <w:rPr>
          <w:rFonts w:ascii="Times New Roman" w:eastAsia="Times New Roman" w:hAnsi="Times New Roman" w:cs="Times New Roman"/>
          <w:color w:val="000000"/>
          <w:sz w:val="27"/>
          <w:szCs w:val="27"/>
        </w:rPr>
        <w:t>35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громадян завітали на депутатський прийом із своїми заявами, скаргами і пропозиціями, що були розглянуті і опрацьовані в межах повноважень депутата.</w:t>
      </w:r>
    </w:p>
    <w:p w:rsidR="005F1189" w:rsidRDefault="00134338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20" w:right="40" w:firstLine="8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Крім того, постійно надавалися консультації та допомога у вирішенні проблем громадян через спеціалізовані юридичні приймальні.</w:t>
      </w:r>
    </w:p>
    <w:p w:rsidR="005F1189" w:rsidRDefault="005F1189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20" w:right="40" w:firstLine="8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F1189" w:rsidRPr="0095383D" w:rsidRDefault="00134338" w:rsidP="009538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228600</wp:posOffset>
            </wp:positionH>
            <wp:positionV relativeFrom="paragraph">
              <wp:posOffset>81915</wp:posOffset>
            </wp:positionV>
            <wp:extent cx="5720080" cy="1040765"/>
            <wp:effectExtent l="0" t="0" r="0" b="0"/>
            <wp:wrapSquare wrapText="bothSides" distT="0" distB="0" distL="0" distR="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1040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F1189" w:rsidRDefault="005F1189" w:rsidP="0095383D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7271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2240"/>
        <w:gridCol w:w="2420"/>
        <w:gridCol w:w="2611"/>
      </w:tblGrid>
      <w:tr w:rsidR="005F1189" w:rsidTr="0070358F">
        <w:trPr>
          <w:trHeight w:val="500"/>
        </w:trPr>
        <w:tc>
          <w:tcPr>
            <w:tcW w:w="2240" w:type="dxa"/>
            <w:vAlign w:val="bottom"/>
          </w:tcPr>
          <w:p w:rsidR="005F1189" w:rsidRDefault="00134338" w:rsidP="0095383D">
            <w:pPr>
              <w:spacing w:line="360" w:lineRule="auto"/>
              <w:ind w:right="85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24</w:t>
            </w:r>
          </w:p>
        </w:tc>
        <w:tc>
          <w:tcPr>
            <w:tcW w:w="2420" w:type="dxa"/>
            <w:vAlign w:val="bottom"/>
          </w:tcPr>
          <w:p w:rsidR="005F1189" w:rsidRDefault="0070358F" w:rsidP="00953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35</w:t>
            </w:r>
          </w:p>
        </w:tc>
        <w:tc>
          <w:tcPr>
            <w:tcW w:w="2611" w:type="dxa"/>
            <w:vAlign w:val="bottom"/>
          </w:tcPr>
          <w:p w:rsidR="005F1189" w:rsidRDefault="0070358F" w:rsidP="00953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32</w:t>
            </w:r>
          </w:p>
        </w:tc>
      </w:tr>
      <w:tr w:rsidR="005F1189" w:rsidTr="0070358F">
        <w:trPr>
          <w:trHeight w:val="260"/>
        </w:trPr>
        <w:tc>
          <w:tcPr>
            <w:tcW w:w="2240" w:type="dxa"/>
            <w:vAlign w:val="bottom"/>
          </w:tcPr>
          <w:p w:rsidR="005F1189" w:rsidRDefault="00134338" w:rsidP="0095383D">
            <w:pPr>
              <w:spacing w:line="36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прийоми та зустрічі з</w:t>
            </w:r>
          </w:p>
        </w:tc>
        <w:tc>
          <w:tcPr>
            <w:tcW w:w="2420" w:type="dxa"/>
            <w:vAlign w:val="bottom"/>
          </w:tcPr>
          <w:p w:rsidR="005F1189" w:rsidRDefault="00134338" w:rsidP="00953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мешканців відвідали</w:t>
            </w:r>
          </w:p>
        </w:tc>
        <w:tc>
          <w:tcPr>
            <w:tcW w:w="2611" w:type="dxa"/>
            <w:vAlign w:val="bottom"/>
          </w:tcPr>
          <w:p w:rsidR="005F1189" w:rsidRDefault="00134338" w:rsidP="00953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депутатськ</w:t>
            </w:r>
            <w:r w:rsidR="0070358F">
              <w:rPr>
                <w:rFonts w:ascii="Times New Roman" w:eastAsia="Times New Roman" w:hAnsi="Times New Roman" w:cs="Times New Roman"/>
                <w:b/>
                <w:color w:val="00000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звернення з</w:t>
            </w:r>
          </w:p>
        </w:tc>
      </w:tr>
      <w:tr w:rsidR="005F1189" w:rsidTr="0070358F">
        <w:trPr>
          <w:trHeight w:val="320"/>
        </w:trPr>
        <w:tc>
          <w:tcPr>
            <w:tcW w:w="2240" w:type="dxa"/>
            <w:vAlign w:val="bottom"/>
          </w:tcPr>
          <w:p w:rsidR="005F1189" w:rsidRDefault="00134338" w:rsidP="0095383D">
            <w:pPr>
              <w:spacing w:line="360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громадою</w:t>
            </w:r>
          </w:p>
        </w:tc>
        <w:tc>
          <w:tcPr>
            <w:tcW w:w="2420" w:type="dxa"/>
            <w:vAlign w:val="bottom"/>
          </w:tcPr>
          <w:p w:rsidR="005F1189" w:rsidRDefault="00134338" w:rsidP="00953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депутатський прийом</w:t>
            </w:r>
          </w:p>
        </w:tc>
        <w:tc>
          <w:tcPr>
            <w:tcW w:w="2611" w:type="dxa"/>
            <w:vAlign w:val="bottom"/>
          </w:tcPr>
          <w:p w:rsidR="005F1189" w:rsidRDefault="00134338" w:rsidP="00953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питань громади</w:t>
            </w:r>
          </w:p>
        </w:tc>
      </w:tr>
    </w:tbl>
    <w:p w:rsidR="005F1189" w:rsidRDefault="005F1189" w:rsidP="009538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1189" w:rsidRDefault="00134338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20" w:right="20" w:firstLine="97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основі отриманої від громадян і громадських організацій інформації, їх скарг і пропозицій, було направлено </w:t>
      </w:r>
      <w:r w:rsidR="0070358F">
        <w:rPr>
          <w:rFonts w:ascii="Times New Roman" w:eastAsia="Times New Roman" w:hAnsi="Times New Roman" w:cs="Times New Roman"/>
          <w:color w:val="000000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депутатських звернен</w:t>
      </w:r>
      <w:r w:rsidR="0070358F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="0095383D"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адресованих до структурних підрозділів КМДА, районних у місті Києві державних адміністрацій, комунальних підприємств, установ та організацій, з вимогами щодо надання киянам якісних комунальних послуг, утримання в належному стані об'єктів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житлового фонду та благоустрою, зупинення незаконного будівництва, перевірки ефективності використання орендованих комунальних приміщень тощо.</w:t>
      </w:r>
    </w:p>
    <w:p w:rsidR="005F1189" w:rsidRDefault="00134338" w:rsidP="0095383D">
      <w:pPr>
        <w:spacing w:after="0" w:line="360" w:lineRule="auto"/>
        <w:ind w:firstLine="97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Також, було надано асигнування на вирішення інфраструктурних проблем навчальних закладів та утримання і проведення ремонтних робіт житлових будинків Шевченківського району міста Києва.</w:t>
      </w:r>
    </w:p>
    <w:p w:rsidR="005F1189" w:rsidRDefault="005F1189" w:rsidP="009538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89" w:rsidRDefault="00134338" w:rsidP="009538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Напрями використання коштів Програми вирішення депутатами Київради соціально-економічних проблем, виконання передвиборних програм та доручень виборців</w:t>
      </w:r>
    </w:p>
    <w:p w:rsidR="005F1189" w:rsidRDefault="005F1189" w:rsidP="009538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89" w:rsidRDefault="00134338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13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7"/>
          <w:szCs w:val="37"/>
        </w:rPr>
      </w:pPr>
      <w:r>
        <w:rPr>
          <w:rFonts w:ascii="Times New Roman" w:eastAsia="Times New Roman" w:hAnsi="Times New Roman" w:cs="Times New Roman"/>
          <w:b/>
          <w:color w:val="000000"/>
          <w:sz w:val="37"/>
          <w:szCs w:val="37"/>
        </w:rPr>
        <w:t>Розподіл видатків</w:t>
      </w:r>
    </w:p>
    <w:p w:rsidR="005F1189" w:rsidRDefault="00134338" w:rsidP="0095383D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68"/>
        </w:tabs>
        <w:spacing w:after="129" w:line="36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Програми та заходи у сфері освіти (2</w:t>
      </w:r>
      <w:r w:rsidR="00C979B9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98788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грн.)</w:t>
      </w:r>
    </w:p>
    <w:p w:rsidR="005F1189" w:rsidRDefault="00134338" w:rsidP="0095383D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8"/>
        </w:tabs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Діяльність у сфері житлово-комунального господарства (</w:t>
      </w:r>
      <w:r w:rsidR="00C979B9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197191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грн.)</w:t>
      </w:r>
    </w:p>
    <w:p w:rsidR="005F1189" w:rsidRDefault="005F1189" w:rsidP="0095383D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27584F" w:rsidRDefault="0027584F" w:rsidP="0095383D">
      <w:pPr>
        <w:tabs>
          <w:tab w:val="left" w:pos="284"/>
        </w:tabs>
        <w:spacing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1189" w:rsidRDefault="00134338" w:rsidP="0095383D">
      <w:pPr>
        <w:tabs>
          <w:tab w:val="left" w:pos="284"/>
        </w:tabs>
        <w:spacing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Інформація для запису на депутатський прийом:    </w:t>
      </w:r>
    </w:p>
    <w:tbl>
      <w:tblPr>
        <w:tblStyle w:val="a6"/>
        <w:tblW w:w="98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79"/>
        <w:gridCol w:w="5294"/>
      </w:tblGrid>
      <w:tr w:rsidR="005F1189">
        <w:trPr>
          <w:trHeight w:val="380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189" w:rsidRDefault="005F1189" w:rsidP="009538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1189">
        <w:trPr>
          <w:trHeight w:val="360"/>
        </w:trPr>
        <w:tc>
          <w:tcPr>
            <w:tcW w:w="4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189" w:rsidRDefault="00134338" w:rsidP="009538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Адреса громадської приймальні: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189" w:rsidRDefault="00134338" w:rsidP="009538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м. Київ, вул. Михайлівська, 17/2, оф. 24</w:t>
            </w:r>
          </w:p>
        </w:tc>
      </w:tr>
      <w:tr w:rsidR="005F1189">
        <w:trPr>
          <w:trHeight w:val="340"/>
        </w:trPr>
        <w:tc>
          <w:tcPr>
            <w:tcW w:w="4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189" w:rsidRDefault="005F1189" w:rsidP="0095383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189" w:rsidRDefault="005F1189" w:rsidP="009538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1189">
        <w:trPr>
          <w:trHeight w:val="380"/>
        </w:trPr>
        <w:tc>
          <w:tcPr>
            <w:tcW w:w="4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189" w:rsidRDefault="00134338" w:rsidP="009538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Години проведення депутатських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189" w:rsidRDefault="00134338" w:rsidP="009538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2-й четвер місяця 18:00 - 19:00</w:t>
            </w:r>
          </w:p>
        </w:tc>
      </w:tr>
      <w:tr w:rsidR="005F1189">
        <w:trPr>
          <w:trHeight w:val="360"/>
        </w:trPr>
        <w:tc>
          <w:tcPr>
            <w:tcW w:w="4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189" w:rsidRDefault="00134338" w:rsidP="009538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прийомів: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189" w:rsidRDefault="00134338" w:rsidP="009538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4-й четвер місяця 18:00 - 19:00</w:t>
            </w:r>
          </w:p>
        </w:tc>
      </w:tr>
      <w:tr w:rsidR="005F1189">
        <w:trPr>
          <w:trHeight w:val="360"/>
        </w:trPr>
        <w:tc>
          <w:tcPr>
            <w:tcW w:w="4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189" w:rsidRDefault="00134338" w:rsidP="009538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Телефони для запису: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189" w:rsidRDefault="00134338" w:rsidP="009538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(044) 338-58-78</w:t>
            </w:r>
          </w:p>
        </w:tc>
      </w:tr>
      <w:tr w:rsidR="005F1189">
        <w:trPr>
          <w:trHeight w:val="360"/>
        </w:trPr>
        <w:tc>
          <w:tcPr>
            <w:tcW w:w="4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189" w:rsidRDefault="005F1189" w:rsidP="0095383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189" w:rsidRDefault="00134338" w:rsidP="009538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(044) 279-66-99</w:t>
            </w:r>
          </w:p>
        </w:tc>
      </w:tr>
    </w:tbl>
    <w:p w:rsidR="00260752" w:rsidRDefault="00260752" w:rsidP="00DF74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4" w:line="360" w:lineRule="auto"/>
        <w:ind w:left="20" w:right="2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5F1189" w:rsidRDefault="00134338" w:rsidP="00DF74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4" w:line="360" w:lineRule="auto"/>
        <w:ind w:left="20" w:right="2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За рік депутатства, громадяни зверталися з заявами стосовно різноманітних питань. Найважливіші з них стосувалися </w:t>
      </w:r>
      <w:r w:rsidR="00DF74A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житлово-комунального господарства,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початку проведення незаконних будівельних робіт у Шевченківському районі міста Києві та, зокрема, в будинках-пам'ятках архітектури.</w:t>
      </w:r>
    </w:p>
    <w:p w:rsidR="005F1189" w:rsidRPr="00260752" w:rsidRDefault="00134338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5" w:line="360" w:lineRule="auto"/>
        <w:ind w:left="20" w:firstLine="86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26075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Участь Юрія Вахеля у найбільш важливих проектах:</w:t>
      </w:r>
    </w:p>
    <w:p w:rsidR="005F1189" w:rsidRDefault="0027584F" w:rsidP="0095383D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53"/>
        </w:tabs>
        <w:spacing w:after="0" w:line="360" w:lineRule="auto"/>
        <w:ind w:left="20" w:right="20" w:firstLine="860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Брав участь в робочій групі </w:t>
      </w:r>
      <w:r w:rsidRPr="00A04680">
        <w:rPr>
          <w:rFonts w:ascii="Times New Roman" w:eastAsia="Times New Roman" w:hAnsi="Times New Roman" w:cs="Times New Roman"/>
          <w:color w:val="000000"/>
          <w:sz w:val="27"/>
          <w:szCs w:val="27"/>
        </w:rPr>
        <w:t>щодо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перевірки </w:t>
      </w:r>
      <w:r w:rsidRPr="00A046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використання цілісного майнового комплексу кінотеатру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«Київ» під час спільного з мером інспектування приміщень кінотеатру.</w:t>
      </w:r>
    </w:p>
    <w:p w:rsidR="005F1189" w:rsidRDefault="00134338" w:rsidP="0095383D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48"/>
        </w:tabs>
        <w:spacing w:after="0" w:line="360" w:lineRule="auto"/>
        <w:ind w:left="20" w:right="20" w:firstLine="860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Ініціювання питання, щодо розширення кола повноважень органів самоорганізації населення, шляхом делегування останнім функцій самоврядного і громадського контролю, співпраці із органами контролю у сфері благоустрою населених пунктів та правоохоронними органами.</w:t>
      </w:r>
    </w:p>
    <w:p w:rsidR="005F1189" w:rsidRDefault="009A723B" w:rsidP="0095383D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53"/>
        </w:tabs>
        <w:spacing w:after="0" w:line="360" w:lineRule="auto"/>
        <w:ind w:left="20" w:right="20" w:firstLine="860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Один із ініціаторів </w:t>
      </w:r>
      <w:r w:rsidRPr="00067DF5">
        <w:rPr>
          <w:rFonts w:ascii="Times New Roman" w:eastAsia="Times New Roman" w:hAnsi="Times New Roman" w:cs="Times New Roman"/>
          <w:color w:val="000000"/>
          <w:sz w:val="27"/>
          <w:szCs w:val="27"/>
          <w:lang/>
        </w:rPr>
        <w:t>запровадження електронних аукціонів з надання в оренду майна на платформі Prozorro.Продажі</w:t>
      </w:r>
      <w:r w:rsidR="0013433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F1189" w:rsidRDefault="005F1189" w:rsidP="0095383D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line="360" w:lineRule="auto"/>
        <w:ind w:firstLine="696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5F1189" w:rsidRDefault="00134338" w:rsidP="0095383D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line="360" w:lineRule="auto"/>
        <w:ind w:firstLine="696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2. Участь у засіданнях Київської міської ради та засіданнях постійної комісії</w:t>
      </w:r>
    </w:p>
    <w:p w:rsidR="005F1189" w:rsidRDefault="00134338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432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Починаючи з 1 грудня 201</w:t>
      </w:r>
      <w:r w:rsidR="00FB0D77">
        <w:rPr>
          <w:rFonts w:ascii="Times New Roman" w:eastAsia="Times New Roman" w:hAnsi="Times New Roman" w:cs="Times New Roman"/>
          <w:color w:val="000000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року було проведено </w:t>
      </w:r>
      <w:r w:rsidR="00752FB8">
        <w:rPr>
          <w:rFonts w:ascii="Times New Roman" w:eastAsia="Times New Roman" w:hAnsi="Times New Roman" w:cs="Times New Roman"/>
          <w:color w:val="000000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пленарн</w:t>
      </w:r>
      <w:r w:rsidR="00752FB8">
        <w:rPr>
          <w:rFonts w:ascii="Times New Roman" w:eastAsia="Times New Roman" w:hAnsi="Times New Roman" w:cs="Times New Roman"/>
          <w:color w:val="000000"/>
          <w:sz w:val="27"/>
          <w:szCs w:val="27"/>
        </w:rPr>
        <w:t>их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засідан</w:t>
      </w:r>
      <w:r w:rsidR="00752FB8"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Київської міської ради, на яких було розглянуто більше </w:t>
      </w:r>
      <w:r w:rsidR="00752FB8">
        <w:rPr>
          <w:rFonts w:ascii="Times New Roman" w:eastAsia="Times New Roman" w:hAnsi="Times New Roman" w:cs="Times New Roman"/>
          <w:color w:val="000000"/>
          <w:sz w:val="27"/>
          <w:szCs w:val="27"/>
        </w:rPr>
        <w:t>3000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питань порядку денного.</w:t>
      </w:r>
    </w:p>
    <w:p w:rsidR="005F1189" w:rsidRDefault="00134338" w:rsidP="0095383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Постійна комісія Київської міської ради з питань власності</w:t>
      </w:r>
    </w:p>
    <w:p w:rsidR="005F1189" w:rsidRDefault="00134338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Київської міської ради, Юрія Вахеля було призначено до складу постійної комісії з питань власності.</w:t>
      </w:r>
    </w:p>
    <w:p w:rsidR="005F1189" w:rsidRDefault="00134338" w:rsidP="0095383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Для попереднього розгляду питань, що вносяться на розгляд Київської міської ради, розробки проектів рішень, здійснення контролю за виконанням рішень Київської міської ради та актів Київської міської державної адміністрації, у Київській міській раді створено постійно діючі комісії, кожна з яких має своє галузеве спрямування. </w:t>
      </w:r>
      <w:r w:rsidR="00DF74A2">
        <w:rPr>
          <w:rFonts w:ascii="Times New Roman" w:eastAsia="Times New Roman" w:hAnsi="Times New Roman" w:cs="Times New Roman"/>
          <w:color w:val="000000"/>
          <w:sz w:val="27"/>
          <w:szCs w:val="27"/>
        </w:rPr>
        <w:t>В період з 01.12.2018 по 01.12.2019 року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було проведено </w:t>
      </w:r>
      <w:r w:rsidR="00DF74A2">
        <w:rPr>
          <w:rFonts w:ascii="Times New Roman" w:eastAsia="Times New Roman" w:hAnsi="Times New Roman" w:cs="Times New Roman"/>
          <w:color w:val="000000"/>
          <w:sz w:val="27"/>
          <w:szCs w:val="27"/>
        </w:rPr>
        <w:t>51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засідан</w:t>
      </w:r>
      <w:r w:rsidR="00DF74A2">
        <w:rPr>
          <w:rFonts w:ascii="Times New Roman" w:eastAsia="Times New Roman" w:hAnsi="Times New Roman" w:cs="Times New Roman"/>
          <w:color w:val="000000"/>
          <w:sz w:val="27"/>
          <w:szCs w:val="27"/>
        </w:rPr>
        <w:t>ня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комісії</w:t>
      </w:r>
      <w:r w:rsidR="00DF74A2">
        <w:rPr>
          <w:rFonts w:ascii="Times New Roman" w:eastAsia="Times New Roman" w:hAnsi="Times New Roman" w:cs="Times New Roman"/>
          <w:color w:val="000000"/>
          <w:sz w:val="27"/>
          <w:szCs w:val="27"/>
        </w:rPr>
        <w:t>. На яких розглянуто близько 9413 питань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З матеріалами роботи комісії та всіма протоколами засідань всі охочі можуть детально ознайомитись на сайті Київради у відповідному розділі: </w:t>
      </w:r>
      <w:hyperlink r:id="rId12">
        <w:r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t>http://kmr.gov.ua/uk/comisii/28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F1189" w:rsidRDefault="00134338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 межах роботи постійної комісії з питань власності, Юрій Вахель:</w:t>
      </w:r>
    </w:p>
    <w:p w:rsidR="005F1189" w:rsidRDefault="00134338" w:rsidP="0095383D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09"/>
        </w:tabs>
        <w:spacing w:after="0" w:line="360" w:lineRule="auto"/>
        <w:ind w:left="20" w:right="20" w:firstLine="700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Підтримував рішення щодо передачі в ефективне орендне користування приміщень територіальної громади міста Києва для забезпечення належного поповнення бюджету міста Києва.</w:t>
      </w:r>
    </w:p>
    <w:p w:rsidR="005F1189" w:rsidRDefault="00134338" w:rsidP="0095383D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14"/>
        </w:tabs>
        <w:spacing w:after="0" w:line="360" w:lineRule="auto"/>
        <w:ind w:left="20" w:right="20" w:firstLine="700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Ініціював проведення перевірок сумнівних орендарів на предмет цільового використання та потенційних орендарів майна територіальної громади міста Києва.</w:t>
      </w:r>
    </w:p>
    <w:p w:rsidR="005F1189" w:rsidRDefault="00134338" w:rsidP="0095383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Відстоював інтереси громади міста Києва при вирішенні інших питань, що виносилися на розгляд комісії з питань власності.</w:t>
      </w:r>
    </w:p>
    <w:p w:rsidR="005F1189" w:rsidRDefault="005F1189" w:rsidP="0095383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5F1189" w:rsidRDefault="00134338" w:rsidP="0095383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3. Участь в роботі інших органів Київської міської ради, робочих, експертних групах, інших органів до яких депутата може бути обрано, делеговано чи призначено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5F1189" w:rsidRPr="00A04680" w:rsidRDefault="00134338" w:rsidP="00A046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Юрій Вахель входив до складу робочої групи </w:t>
      </w:r>
      <w:r w:rsidR="00A04680" w:rsidRPr="00A04680">
        <w:rPr>
          <w:rFonts w:ascii="Times New Roman" w:eastAsia="Times New Roman" w:hAnsi="Times New Roman" w:cs="Times New Roman"/>
          <w:color w:val="000000"/>
          <w:sz w:val="27"/>
          <w:szCs w:val="27"/>
        </w:rPr>
        <w:t>щодо оренди та</w:t>
      </w:r>
      <w:r w:rsidR="00A046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04680" w:rsidRPr="00A046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використання цілісного майнового комплексу кінотеатру </w:t>
      </w:r>
      <w:r w:rsidR="00A04680">
        <w:rPr>
          <w:rFonts w:ascii="Times New Roman" w:eastAsia="Times New Roman" w:hAnsi="Times New Roman" w:cs="Times New Roman"/>
          <w:color w:val="000000"/>
          <w:sz w:val="27"/>
          <w:szCs w:val="27"/>
        </w:rPr>
        <w:t>«Київ»</w:t>
      </w:r>
      <w:r w:rsid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під час спільного з мером інспектування приміщень кінотеатру.</w:t>
      </w:r>
    </w:p>
    <w:p w:rsidR="008D4CFB" w:rsidRPr="00ED696C" w:rsidRDefault="00ED696C" w:rsidP="00ED69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 w:rsidR="001343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рав участь у засіданні робочої групи </w:t>
      </w:r>
      <w:r w:rsidR="008D4CFB" w:rsidRP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>щодо</w:t>
      </w:r>
      <w:r w:rsid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8D4CFB" w:rsidRP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>діяльності комунальних підприємств-замовників (виконавців) послуг</w:t>
      </w:r>
      <w:r w:rsid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8D4CFB" w:rsidRP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організації харчування в закладах загальної середньої освіти комунальної</w:t>
      </w:r>
      <w:r w:rsid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8D4CFB" w:rsidRP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>власності територіальної громади міста Києва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8D4CFB" w:rsidRP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>засіданн</w:t>
      </w:r>
      <w:r w:rsid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r w:rsidR="008D4CFB" w:rsidRP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робочої групи щодо продовження ПІІ </w:t>
      </w:r>
      <w:r w:rsid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 w:rsidR="008D4CFB" w:rsidRP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>Білла-</w:t>
      </w:r>
      <w:r w:rsid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Україна»</w:t>
      </w:r>
      <w:r w:rsidR="008D4CFB" w:rsidRP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договору</w:t>
      </w:r>
      <w:r w:rsid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8D4CFB" w:rsidRPr="008D4CFB">
        <w:rPr>
          <w:rFonts w:ascii="Times New Roman" w:eastAsia="Times New Roman" w:hAnsi="Times New Roman" w:cs="Times New Roman"/>
          <w:color w:val="000000"/>
          <w:sz w:val="27"/>
          <w:szCs w:val="27"/>
        </w:rPr>
        <w:t>оренди нежитлових приміщень на Бессарабській площі, 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r w:rsidRPr="00ED696C">
        <w:rPr>
          <w:rFonts w:ascii="Times New Roman" w:eastAsia="Times New Roman" w:hAnsi="Times New Roman" w:cs="Times New Roman"/>
          <w:color w:val="000000"/>
          <w:sz w:val="27"/>
          <w:szCs w:val="27"/>
        </w:rPr>
        <w:t>засіданн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і </w:t>
      </w:r>
      <w:r w:rsidRPr="00ED696C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робочої групи щодо здійснення постійною комісією Київради з питань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D696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власності контролю за виконанням рішення Київради від 23.02.2017 №946/1950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 w:rsidRPr="00ED696C">
        <w:rPr>
          <w:rFonts w:ascii="Times New Roman" w:eastAsia="Times New Roman" w:hAnsi="Times New Roman" w:cs="Times New Roman"/>
          <w:color w:val="000000"/>
          <w:sz w:val="27"/>
          <w:szCs w:val="27"/>
        </w:rPr>
        <w:t>Про повернення приміщень комунальної власності територіальної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D696C">
        <w:rPr>
          <w:rFonts w:ascii="Times New Roman" w:eastAsia="Times New Roman" w:hAnsi="Times New Roman" w:cs="Times New Roman"/>
          <w:color w:val="000000"/>
          <w:sz w:val="27"/>
          <w:szCs w:val="27"/>
        </w:rPr>
        <w:t>громади міста Києва із сфери управління державних установ і організаці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й </w:t>
      </w:r>
      <w:r w:rsidRPr="00ED696C">
        <w:rPr>
          <w:rFonts w:ascii="Times New Roman" w:eastAsia="Times New Roman" w:hAnsi="Times New Roman" w:cs="Times New Roman"/>
          <w:color w:val="000000"/>
          <w:sz w:val="27"/>
          <w:szCs w:val="27"/>
        </w:rPr>
        <w:t>(відповідно до рішення постійної комісії Київської міської ради з питань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D696C">
        <w:rPr>
          <w:rFonts w:ascii="Times New Roman" w:eastAsia="Times New Roman" w:hAnsi="Times New Roman" w:cs="Times New Roman"/>
          <w:color w:val="000000"/>
          <w:sz w:val="27"/>
          <w:szCs w:val="27"/>
        </w:rPr>
        <w:t>власності від 28.05.2019 протокол № 22/157)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».</w:t>
      </w:r>
    </w:p>
    <w:p w:rsidR="00260752" w:rsidRDefault="00260752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82" w:line="36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5F1189" w:rsidRDefault="00134338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82" w:line="36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Про</w:t>
      </w:r>
      <w:r w:rsidR="00067DF5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є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кти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рішень</w:t>
      </w:r>
    </w:p>
    <w:p w:rsidR="005F1189" w:rsidRDefault="00134338" w:rsidP="0095383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35" w:line="36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bookmarkStart w:id="2" w:name="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 xml:space="preserve">Прийняті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</w:t>
      </w:r>
      <w:r w:rsidR="00067DF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є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рішень</w:t>
      </w:r>
    </w:p>
    <w:p w:rsidR="00067DF5" w:rsidRDefault="00134338" w:rsidP="00067DF5">
      <w:pPr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48"/>
        </w:tabs>
        <w:spacing w:after="0" w:line="36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Рішення Київської міської ради від 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лютого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201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року № 1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78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6834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r w:rsidR="00067DF5" w:rsidRPr="00067DF5">
        <w:rPr>
          <w:rFonts w:ascii="Times New Roman" w:eastAsia="Times New Roman" w:hAnsi="Times New Roman" w:cs="Times New Roman"/>
          <w:color w:val="000000"/>
          <w:sz w:val="27"/>
          <w:szCs w:val="27"/>
          <w:lang/>
        </w:rPr>
        <w:t>Про звернення Київської міської ради до Верховної Ради України щодо внесення змін до законодавчих актів України з метою вдосконалення правового регулювання відносин між співвласниками багатоквартирних будинків і власниками та орендарями житлових або нежитлових приміщень у багатоквартирних будинках</w:t>
      </w:r>
      <w:bookmarkStart w:id="3" w:name="1fob9te" w:colFirst="0" w:colLast="0"/>
      <w:bookmarkEnd w:id="3"/>
      <w:r w:rsidR="0027584F">
        <w:rPr>
          <w:rFonts w:ascii="Times New Roman" w:eastAsia="Times New Roman" w:hAnsi="Times New Roman" w:cs="Times New Roman"/>
          <w:color w:val="000000"/>
          <w:sz w:val="27"/>
          <w:szCs w:val="27"/>
        </w:rPr>
        <w:t>».</w:t>
      </w:r>
    </w:p>
    <w:p w:rsidR="00067DF5" w:rsidRPr="00067DF5" w:rsidRDefault="00067DF5" w:rsidP="00067D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48"/>
        </w:tabs>
        <w:spacing w:after="0" w:line="360" w:lineRule="auto"/>
        <w:ind w:left="860"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/>
        </w:rPr>
      </w:pPr>
    </w:p>
    <w:p w:rsidR="005F1189" w:rsidRDefault="00134338" w:rsidP="0095383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44" w:line="36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Зареєстровані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</w:t>
      </w:r>
      <w:r w:rsidR="00067DF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є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рішень</w:t>
      </w:r>
    </w:p>
    <w:p w:rsidR="005F1189" w:rsidRPr="00067DF5" w:rsidRDefault="00134338" w:rsidP="00067DF5">
      <w:pPr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43"/>
        </w:tabs>
        <w:spacing w:after="0" w:line="36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є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кт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рішення Київської міської ради № 13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93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r w:rsidR="00067DF5" w:rsidRPr="00067DF5">
        <w:rPr>
          <w:rFonts w:ascii="Times New Roman" w:eastAsia="Times New Roman" w:hAnsi="Times New Roman" w:cs="Times New Roman"/>
          <w:color w:val="000000"/>
          <w:sz w:val="27"/>
          <w:szCs w:val="27"/>
          <w:lang/>
        </w:rPr>
        <w:t>Про забезпечення проведення прозорого конкурсу на право оренди кінотеатру «Київ» та збереження показів фестивального, арт-хаузного, авторського і незалежного кіно (в порядку п. 5.11 Положення про оренду майна територіальної громади міста Києва)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».</w:t>
      </w:r>
    </w:p>
    <w:p w:rsidR="005F1189" w:rsidRPr="00067DF5" w:rsidRDefault="00134338" w:rsidP="00067DF5">
      <w:pPr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48"/>
        </w:tabs>
        <w:spacing w:after="0" w:line="36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є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кт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рішення Київської міської ради № 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1380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r w:rsidR="00067DF5" w:rsidRPr="00067DF5">
        <w:rPr>
          <w:rFonts w:ascii="Times New Roman" w:eastAsia="Times New Roman" w:hAnsi="Times New Roman" w:cs="Times New Roman"/>
          <w:color w:val="000000"/>
          <w:sz w:val="27"/>
          <w:szCs w:val="27"/>
          <w:lang/>
        </w:rPr>
        <w:t>Про внесення змін до рішення Київської міської ради від 21 квітня 2015 року № 415/1280 "Про затвердження Положення про оренду майна територіальної громади міста Києва" (щодо запровадження електронних аукціонів з надання в оренду майна на платформі Prozorro.Продажі)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».</w:t>
      </w:r>
    </w:p>
    <w:p w:rsidR="005F1189" w:rsidRPr="00067DF5" w:rsidRDefault="00134338" w:rsidP="00067DF5">
      <w:pPr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53"/>
        </w:tabs>
        <w:spacing w:after="948" w:line="36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є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кт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рішення Київської міської ради № 4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365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r w:rsidR="00067DF5" w:rsidRPr="00067DF5">
        <w:rPr>
          <w:rFonts w:ascii="Times New Roman" w:eastAsia="Times New Roman" w:hAnsi="Times New Roman" w:cs="Times New Roman"/>
          <w:color w:val="000000"/>
          <w:sz w:val="27"/>
          <w:szCs w:val="27"/>
          <w:lang/>
        </w:rPr>
        <w:t xml:space="preserve">Про внесення змін до рішення Київської міської ради від 23 червня 2011 року №242/5629 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 w:rsidR="00067DF5" w:rsidRPr="00067DF5">
        <w:rPr>
          <w:rFonts w:ascii="Times New Roman" w:eastAsia="Times New Roman" w:hAnsi="Times New Roman" w:cs="Times New Roman"/>
          <w:color w:val="000000"/>
          <w:sz w:val="27"/>
          <w:szCs w:val="27"/>
          <w:lang/>
        </w:rPr>
        <w:t>Про встановлення місцевих податків і зборів у м. Києві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="00067DF5" w:rsidRPr="00067DF5">
        <w:rPr>
          <w:rFonts w:ascii="Times New Roman" w:eastAsia="Times New Roman" w:hAnsi="Times New Roman" w:cs="Times New Roman"/>
          <w:color w:val="000000"/>
          <w:sz w:val="27"/>
          <w:szCs w:val="27"/>
          <w:lang/>
        </w:rPr>
        <w:t xml:space="preserve"> (у редакції рішення Київської міської ради від 18.10.2018 № 1910/5974)</w:t>
      </w:r>
      <w:r w:rsidR="00067DF5">
        <w:rPr>
          <w:rFonts w:ascii="Times New Roman" w:eastAsia="Times New Roman" w:hAnsi="Times New Roman" w:cs="Times New Roman"/>
          <w:color w:val="000000"/>
          <w:sz w:val="27"/>
          <w:szCs w:val="27"/>
        </w:rPr>
        <w:t>».</w:t>
      </w:r>
    </w:p>
    <w:p w:rsidR="005F1189" w:rsidRDefault="00134338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71" w:line="36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bookmarkStart w:id="4" w:name="3znysh7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Пріоритети на 20</w:t>
      </w:r>
      <w:r w:rsidR="0095383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рік</w:t>
      </w:r>
    </w:p>
    <w:p w:rsidR="005F1189" w:rsidRDefault="00134338" w:rsidP="009538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436" w:line="360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Пріоритетними напрямками роботи Юрія Вахеля, як депутата Київської міської ради VIII скликання, в 20</w:t>
      </w:r>
      <w:r w:rsidR="0095383D">
        <w:rPr>
          <w:rFonts w:ascii="Times New Roman" w:eastAsia="Times New Roman" w:hAnsi="Times New Roman" w:cs="Times New Roman"/>
          <w:color w:val="000000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році будуть:</w:t>
      </w:r>
    </w:p>
    <w:p w:rsidR="005F1189" w:rsidRDefault="00134338" w:rsidP="0095383D">
      <w:pPr>
        <w:numPr>
          <w:ilvl w:val="4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71"/>
        </w:tabs>
        <w:spacing w:after="0" w:line="360" w:lineRule="auto"/>
        <w:ind w:left="1080" w:right="20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Відстоювання інтересів громади шляхом перевірки та забезпечення ефективного використання майна територіальної громади міста Києва.</w:t>
      </w:r>
    </w:p>
    <w:p w:rsidR="005F1189" w:rsidRDefault="00134338" w:rsidP="0095383D">
      <w:pPr>
        <w:numPr>
          <w:ilvl w:val="4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95"/>
        </w:tabs>
        <w:spacing w:after="0" w:line="360" w:lineRule="auto"/>
        <w:ind w:left="1080" w:right="20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Підтримка зв'язку з громадою, розвиток і підтримка місцевих ініціатив.</w:t>
      </w:r>
    </w:p>
    <w:p w:rsidR="005F1189" w:rsidRDefault="00134338" w:rsidP="0095383D">
      <w:pPr>
        <w:numPr>
          <w:ilvl w:val="4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90"/>
        </w:tabs>
        <w:spacing w:after="0" w:line="360" w:lineRule="auto"/>
        <w:ind w:left="1080" w:right="20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Боротьба з незаконним будівництвом та незаконним захопленням земельних ділянок.</w:t>
      </w:r>
    </w:p>
    <w:p w:rsidR="005F1189" w:rsidRDefault="00134338" w:rsidP="0095383D">
      <w:pPr>
        <w:numPr>
          <w:ilvl w:val="4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05"/>
        </w:tabs>
        <w:spacing w:after="0" w:line="360" w:lineRule="auto"/>
        <w:ind w:left="1080" w:right="20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Збереження культурних пам'яток в історичному центрі Шевченківського району міста Києва та в районі в цілому.</w:t>
      </w:r>
    </w:p>
    <w:p w:rsidR="005F1189" w:rsidRPr="0095383D" w:rsidRDefault="00134338" w:rsidP="0095383D">
      <w:pPr>
        <w:numPr>
          <w:ilvl w:val="4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360" w:lineRule="auto"/>
        <w:ind w:left="1080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Робота в робочих та експертних групах.</w:t>
      </w:r>
    </w:p>
    <w:p w:rsidR="0095383D" w:rsidRDefault="0095383D" w:rsidP="0095383D">
      <w:pPr>
        <w:numPr>
          <w:ilvl w:val="4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360" w:lineRule="auto"/>
        <w:ind w:left="1080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Створення умов для підтримки </w:t>
      </w:r>
      <w:r w:rsidRPr="0095383D">
        <w:rPr>
          <w:rFonts w:ascii="Times New Roman" w:eastAsia="Times New Roman" w:hAnsi="Times New Roman" w:cs="Times New Roman"/>
          <w:color w:val="000000"/>
          <w:sz w:val="27"/>
          <w:szCs w:val="27"/>
        </w:rPr>
        <w:t>Національної скаутської організації України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Пласту.</w:t>
      </w:r>
    </w:p>
    <w:p w:rsidR="005F1189" w:rsidRDefault="005F1189" w:rsidP="0095383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sectPr w:rsidR="005F1189">
      <w:headerReference w:type="default" r:id="rId13"/>
      <w:footerReference w:type="default" r:id="rId14"/>
      <w:pgSz w:w="11900" w:h="16840"/>
      <w:pgMar w:top="850" w:right="850" w:bottom="85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1E" w:rsidRDefault="00A8031E">
      <w:pPr>
        <w:spacing w:after="0" w:line="240" w:lineRule="auto"/>
      </w:pPr>
      <w:r>
        <w:separator/>
      </w:r>
    </w:p>
  </w:endnote>
  <w:endnote w:type="continuationSeparator" w:id="0">
    <w:p w:rsidR="00A8031E" w:rsidRDefault="00A8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189" w:rsidRDefault="005F1189">
    <w:pPr>
      <w:pBdr>
        <w:top w:val="nil"/>
        <w:left w:val="nil"/>
        <w:bottom w:val="nil"/>
        <w:right w:val="nil"/>
        <w:between w:val="nil"/>
      </w:pBdr>
      <w:tabs>
        <w:tab w:val="right" w:pos="961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1E" w:rsidRDefault="00A8031E">
      <w:pPr>
        <w:spacing w:after="0" w:line="240" w:lineRule="auto"/>
      </w:pPr>
      <w:r>
        <w:separator/>
      </w:r>
    </w:p>
  </w:footnote>
  <w:footnote w:type="continuationSeparator" w:id="0">
    <w:p w:rsidR="00A8031E" w:rsidRDefault="00A8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189" w:rsidRDefault="005F11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961"/>
    <w:multiLevelType w:val="multilevel"/>
    <w:tmpl w:val="1826F258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</w:abstractNum>
  <w:abstractNum w:abstractNumId="1" w15:restartNumberingAfterBreak="0">
    <w:nsid w:val="169E6B60"/>
    <w:multiLevelType w:val="multilevel"/>
    <w:tmpl w:val="2D28A5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</w:abstractNum>
  <w:abstractNum w:abstractNumId="2" w15:restartNumberingAfterBreak="0">
    <w:nsid w:val="70B92665"/>
    <w:multiLevelType w:val="multilevel"/>
    <w:tmpl w:val="47E6C9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89"/>
    <w:rsid w:val="00011D02"/>
    <w:rsid w:val="00067DF5"/>
    <w:rsid w:val="000A4553"/>
    <w:rsid w:val="0011474E"/>
    <w:rsid w:val="00134338"/>
    <w:rsid w:val="00260752"/>
    <w:rsid w:val="0027584F"/>
    <w:rsid w:val="00361ECB"/>
    <w:rsid w:val="00373FCF"/>
    <w:rsid w:val="005F1189"/>
    <w:rsid w:val="0070358F"/>
    <w:rsid w:val="00752FB8"/>
    <w:rsid w:val="007F12B0"/>
    <w:rsid w:val="00880B90"/>
    <w:rsid w:val="008D4CFB"/>
    <w:rsid w:val="008F50F3"/>
    <w:rsid w:val="0095383D"/>
    <w:rsid w:val="009A723B"/>
    <w:rsid w:val="00A04680"/>
    <w:rsid w:val="00A51FD4"/>
    <w:rsid w:val="00A8031E"/>
    <w:rsid w:val="00AF18EF"/>
    <w:rsid w:val="00B475AE"/>
    <w:rsid w:val="00B73359"/>
    <w:rsid w:val="00B9092F"/>
    <w:rsid w:val="00BF4344"/>
    <w:rsid w:val="00C979B9"/>
    <w:rsid w:val="00DF74A2"/>
    <w:rsid w:val="00EC72DC"/>
    <w:rsid w:val="00ED696C"/>
    <w:rsid w:val="00FB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01C1"/>
  <w15:docId w15:val="{14797EB1-4566-5A48-879E-7C3880AD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List Paragraph"/>
    <w:basedOn w:val="a"/>
    <w:uiPriority w:val="34"/>
    <w:qFormat/>
    <w:rsid w:val="00067DF5"/>
    <w:pPr>
      <w:ind w:left="720"/>
      <w:contextualSpacing/>
    </w:pPr>
  </w:style>
  <w:style w:type="paragraph" w:customStyle="1" w:styleId="Default">
    <w:name w:val="Default"/>
    <w:rsid w:val="0026075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0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mr.gov.ua/uk/comisii/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5F3A24-040D-4F8C-A5FD-7F4AF0ED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</Pages>
  <Words>5874</Words>
  <Characters>3349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 Швец</cp:lastModifiedBy>
  <cp:revision>10</cp:revision>
  <dcterms:created xsi:type="dcterms:W3CDTF">2020-03-02T19:06:00Z</dcterms:created>
  <dcterms:modified xsi:type="dcterms:W3CDTF">2020-03-23T11:31:00Z</dcterms:modified>
</cp:coreProperties>
</file>