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C47BD" w14:textId="77777777" w:rsidR="00E51019" w:rsidRPr="00594896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59489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Звіт </w:t>
      </w:r>
    </w:p>
    <w:p w14:paraId="35090ECE" w14:textId="2E832295" w:rsidR="00E51019" w:rsidRPr="00594896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депутат</w:t>
      </w:r>
      <w:r w:rsidR="00D24F44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Київської міської ради IX скликання,</w:t>
      </w:r>
    </w:p>
    <w:p w14:paraId="1933FD75" w14:textId="77777777" w:rsidR="00594896" w:rsidRDefault="00E222B2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члена </w:t>
      </w:r>
      <w:r w:rsidR="00E51019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депутатськ</w:t>
      </w: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ої</w:t>
      </w:r>
      <w:r w:rsidR="00E51019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фракці</w:t>
      </w: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ї</w:t>
      </w:r>
      <w:r w:rsidR="00D24F44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51019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«СЛУГА НАРОДУ» </w:t>
      </w:r>
    </w:p>
    <w:p w14:paraId="38A3045F" w14:textId="0BE632B5" w:rsidR="00E51019" w:rsidRPr="00594896" w:rsidRDefault="00835377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у Київській міській раді</w:t>
      </w:r>
    </w:p>
    <w:p w14:paraId="45A081F5" w14:textId="04985D37" w:rsidR="00E51019" w:rsidRPr="00594896" w:rsidRDefault="004223BB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9489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Пашинної Лілії Василівни</w:t>
      </w:r>
    </w:p>
    <w:p w14:paraId="39A65E69" w14:textId="77777777" w:rsidR="00E51019" w:rsidRPr="00594896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 виконання депутатських повноважень </w:t>
      </w:r>
    </w:p>
    <w:p w14:paraId="4BA62D06" w14:textId="643CCA0A" w:rsidR="004223BB" w:rsidRPr="00594896" w:rsidRDefault="00594896" w:rsidP="004223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896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E5766F" wp14:editId="0B1FD148">
                <wp:simplePos x="0" y="0"/>
                <wp:positionH relativeFrom="margin">
                  <wp:align>right</wp:align>
                </wp:positionH>
                <wp:positionV relativeFrom="paragraph">
                  <wp:posOffset>512445</wp:posOffset>
                </wp:positionV>
                <wp:extent cx="5946775" cy="0"/>
                <wp:effectExtent l="0" t="19050" r="53975" b="38100"/>
                <wp:wrapSquare wrapText="bothSides"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C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17.05pt;margin-top:40.35pt;width:468.25pt;height:0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" strokecolor="#00b050" strokeweight="4pt">
                <v:stroke startarrowwidth="narrow" startarrowlength="short" endarrowwidth="narrow" endarrowlength="short"/>
                <w10:wrap type="square" anchorx="margin"/>
              </v:shape>
            </w:pict>
          </mc:Fallback>
        </mc:AlternateContent>
      </w:r>
      <w:r w:rsidR="00E51019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період </w:t>
      </w:r>
      <w:r w:rsidR="00E222B2" w:rsidRPr="00594896">
        <w:rPr>
          <w:rFonts w:ascii="Times New Roman" w:eastAsia="Times New Roman" w:hAnsi="Times New Roman" w:cs="Times New Roman"/>
          <w:color w:val="000000"/>
          <w:sz w:val="32"/>
          <w:szCs w:val="32"/>
        </w:rPr>
        <w:t>01.12.2020 – 31.12.2020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(грудень 2020)</w:t>
      </w:r>
    </w:p>
    <w:p w14:paraId="39CBA76B" w14:textId="1EC50AD2" w:rsidR="00A61D04" w:rsidRPr="004223BB" w:rsidRDefault="00A61D04" w:rsidP="004223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</w:rPr>
      </w:pPr>
    </w:p>
    <w:p w14:paraId="68180DFD" w14:textId="26C0B538" w:rsidR="00E51019" w:rsidRPr="00225A84" w:rsidRDefault="00A61D04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uk-UA"/>
        </w:rPr>
        <w:drawing>
          <wp:inline distT="0" distB="0" distL="0" distR="0" wp14:anchorId="49F4DD8A" wp14:editId="5E206ADB">
            <wp:extent cx="4019550" cy="382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865" cy="383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970C" w14:textId="77777777" w:rsidR="00E51019" w:rsidRPr="00225A84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F89607" w14:textId="77777777" w:rsidR="00E51019" w:rsidRPr="00225A84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2CDB8265" w14:textId="1655DF16" w:rsidR="00E51019" w:rsidRPr="00892046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0" w:right="-7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</w:pP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Член депутатської фракції «СЛУГА НАРОДУ»</w:t>
      </w:r>
      <w:r w:rsidR="004A3250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в Київській міській раді,</w:t>
      </w:r>
      <w:r w:rsidR="001430CD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</w:t>
      </w:r>
      <w:r w:rsidR="0009052E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П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ерший заступник Голови Постійної комісії Київської міської ради з питань бюджету та соціально-економічного розвитку.</w:t>
      </w:r>
    </w:p>
    <w:p w14:paraId="6B193973" w14:textId="162CB905" w:rsidR="004223BB" w:rsidRPr="00892046" w:rsidRDefault="00E51019" w:rsidP="004223BB">
      <w:pPr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</w:pP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ab/>
        <w:t xml:space="preserve">Вищу </w:t>
      </w:r>
      <w:r w:rsidR="003045DF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юридичну </w:t>
      </w: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освіту здобула 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в Київському національному у</w:t>
      </w:r>
      <w:r w:rsidR="003045DF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ніверситеті внутрішніх справ України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.</w:t>
      </w:r>
    </w:p>
    <w:p w14:paraId="44958E9F" w14:textId="24F0B6DC" w:rsidR="0057180E" w:rsidRPr="00892046" w:rsidRDefault="00E51019" w:rsidP="0009052E">
      <w:pPr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</w:pP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Свою трудову діяльність розпочала </w:t>
      </w:r>
      <w:r w:rsidR="001430CD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з </w:t>
      </w: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2005 року</w:t>
      </w:r>
      <w:r w:rsidR="004A3250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,</w:t>
      </w:r>
      <w:r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працювала 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юрисконсу</w:t>
      </w:r>
      <w:r w:rsidR="00A03780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льтом,</w:t>
      </w:r>
      <w:r w:rsidR="004223BB" w:rsidRPr="00892046">
        <w:rPr>
          <w:color w:val="000000" w:themeColor="text1"/>
        </w:rPr>
        <w:t xml:space="preserve"> 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помічником-консультантом Народного депутата України, головним консультантом депутатської фракції ПП «Об’єднання «Самопоміч» у Верховній Раді України</w:t>
      </w:r>
      <w:r w:rsidR="00AF42F2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, Керівником Патронатної служби Міністра</w:t>
      </w:r>
      <w:r w:rsidR="008536C4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(</w:t>
      </w:r>
      <w:r w:rsidR="00AF42F2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Міністерств</w:t>
      </w:r>
      <w:r w:rsidR="008536C4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а</w:t>
      </w:r>
      <w:r w:rsidR="00AF42F2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розвитку громад та територій України</w:t>
      </w:r>
      <w:r w:rsidR="008536C4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),</w:t>
      </w:r>
      <w:r w:rsidR="00AF42F2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радник</w:t>
      </w:r>
      <w:r w:rsidR="001430CD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о</w:t>
      </w:r>
      <w:r w:rsidR="00AF42F2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>м Керівника Офісу Президента України</w:t>
      </w:r>
      <w:r w:rsidR="001430CD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по даний час.</w:t>
      </w:r>
      <w:r w:rsidR="004223BB" w:rsidRPr="00892046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</w:rPr>
        <w:t xml:space="preserve"> </w:t>
      </w:r>
    </w:p>
    <w:p w14:paraId="0EE6ABC1" w14:textId="77777777" w:rsidR="00E51019" w:rsidRPr="00225A84" w:rsidRDefault="00E51019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14:paraId="20794E02" w14:textId="77777777" w:rsidR="004A3250" w:rsidRDefault="004A3250" w:rsidP="004A32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</w:p>
    <w:p w14:paraId="1E904452" w14:textId="77777777" w:rsidR="004A3250" w:rsidRDefault="004A3250" w:rsidP="004A32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</w:p>
    <w:p w14:paraId="56BFC1D5" w14:textId="68B26316" w:rsidR="004A3250" w:rsidRPr="004A3250" w:rsidRDefault="004A3250" w:rsidP="004A32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  <w:r w:rsidRPr="004A3250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lastRenderedPageBreak/>
        <w:t>Вступ</w:t>
      </w:r>
    </w:p>
    <w:p w14:paraId="157BE106" w14:textId="77777777" w:rsidR="004A3250" w:rsidRPr="004A3250" w:rsidRDefault="004A3250" w:rsidP="004A325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4C745216" w14:textId="05C70D5D" w:rsidR="004A3250" w:rsidRPr="004A3250" w:rsidRDefault="004A3250" w:rsidP="004A32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Виконання повноважень д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епутата Київської міської ради здійснює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ться на громадських засадах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і передбачає такі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напрям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к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и:</w:t>
      </w:r>
    </w:p>
    <w:p w14:paraId="257DE498" w14:textId="42B50B28" w:rsidR="004A3250" w:rsidRPr="004A3250" w:rsidRDefault="004A3250" w:rsidP="004A3250">
      <w:pPr>
        <w:pStyle w:val="a3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заємодія з громадою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; р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озгляд пропозицій, заяв і скарг громадян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; використання депутатського фонду;</w:t>
      </w:r>
    </w:p>
    <w:p w14:paraId="69B76373" w14:textId="156D66A1" w:rsidR="004A3250" w:rsidRPr="004A3250" w:rsidRDefault="004A3250" w:rsidP="004A3250">
      <w:pPr>
        <w:pStyle w:val="a3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у</w:t>
      </w:r>
      <w:r w:rsidRPr="004A325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часть у засіданнях Київської міської ради та засіданнях постійної комісії, до якої обрано депутата.</w:t>
      </w:r>
    </w:p>
    <w:p w14:paraId="4257C063" w14:textId="77777777" w:rsidR="00E51019" w:rsidRPr="00225A84" w:rsidRDefault="00E51019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14:paraId="7C10616E" w14:textId="51E90C81" w:rsidR="00E51019" w:rsidRPr="00225A84" w:rsidRDefault="00E51019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1" w:name="_gjdgxs" w:colFirst="0" w:colLast="0"/>
      <w:bookmarkEnd w:id="1"/>
      <w:r w:rsidRPr="00225A8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1. </w:t>
      </w:r>
      <w:r w:rsidR="003045D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Взаємодія з громадою</w:t>
      </w:r>
    </w:p>
    <w:p w14:paraId="1B76A2C3" w14:textId="77777777" w:rsidR="00E51019" w:rsidRPr="00225A84" w:rsidRDefault="00E51019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A3FCCB" w14:textId="0F19442C" w:rsidR="00E51019" w:rsidRPr="001657A6" w:rsidRDefault="00E51019" w:rsidP="001657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ab/>
      </w:r>
      <w:r w:rsidR="003045DF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У грудні 2020 р.</w:t>
      </w:r>
      <w:r w:rsid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>, у зв’язку з карантинними обмеженнями, комунікація з громадськістю</w:t>
      </w: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здійснювалася онлайн</w:t>
      </w:r>
      <w:r w:rsid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в порядку індивідуальних зустрічей</w:t>
      </w: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3D25D4A8" w14:textId="15D46805" w:rsidR="00E51019" w:rsidRPr="001657A6" w:rsidRDefault="00E51019" w:rsidP="00E51019">
      <w:pP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Наразі громадяни можуть зв’язатися з депутаткою за допомогою засобів поштового, телефонного зв’язку, електронної пошти</w:t>
      </w:r>
      <w:r w:rsidR="008536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соціальні мережі</w:t>
      </w:r>
      <w:r w:rsidR="008536C4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також на особистому прийомі за попереднім записом</w:t>
      </w:r>
      <w:r w:rsidRPr="001657A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A72CF2A" w14:textId="77777777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61825BFE" w14:textId="77777777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>Контактна інформація: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E51019" w:rsidRPr="00225A84" w14:paraId="4A7D7749" w14:textId="77777777" w:rsidTr="009279F0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0207" w14:textId="77777777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E2AAFD1" w14:textId="4C8769D1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Адреса </w:t>
            </w:r>
            <w:r w:rsidR="00143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приймальні</w:t>
            </w: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C6A3" w14:textId="77777777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6D7C094B" w14:textId="0971F933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  <w:r w:rsidR="00143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024</w:t>
            </w: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м. Київ, вул. </w:t>
            </w:r>
            <w:r w:rsidR="00143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Лютеранська</w:t>
            </w: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143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буд.28/19 літ. «А»</w:t>
            </w:r>
          </w:p>
        </w:tc>
      </w:tr>
      <w:tr w:rsidR="00E51019" w:rsidRPr="00225A84" w14:paraId="3275C56B" w14:textId="77777777" w:rsidTr="009279F0">
        <w:trPr>
          <w:trHeight w:val="34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FADE" w14:textId="77777777" w:rsidR="00E51019" w:rsidRPr="00225A84" w:rsidRDefault="00E51019" w:rsidP="009279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5FE33" w14:textId="77777777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51019" w:rsidRPr="00225A84" w14:paraId="4389E45A" w14:textId="77777777" w:rsidTr="009279F0">
        <w:trPr>
          <w:trHeight w:val="38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35A02" w14:textId="77777777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Електронна пошта: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EB26" w14:textId="525D1E9E" w:rsidR="00E51019" w:rsidRPr="00892046" w:rsidRDefault="00AF42F2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9204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pashynna.liliia@kmr.gov.ua</w:t>
            </w:r>
          </w:p>
        </w:tc>
      </w:tr>
      <w:tr w:rsidR="00E51019" w:rsidRPr="00225A84" w14:paraId="742467CA" w14:textId="77777777" w:rsidTr="009279F0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187B" w14:textId="77777777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DA9C" w14:textId="77777777" w:rsidR="00E51019" w:rsidRPr="00892046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E51019" w:rsidRPr="00225A84" w14:paraId="53DDD541" w14:textId="77777777" w:rsidTr="009279F0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9769" w14:textId="70438A91" w:rsidR="00E51019" w:rsidRPr="00225A84" w:rsidRDefault="00E51019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</w:t>
            </w:r>
            <w:r w:rsidR="00143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приймальні</w:t>
            </w:r>
            <w:r w:rsidRPr="00225A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67B1" w14:textId="31C75404" w:rsidR="00E51019" w:rsidRPr="00892046" w:rsidRDefault="00AF42F2" w:rsidP="009279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9204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0632556674</w:t>
            </w:r>
          </w:p>
        </w:tc>
      </w:tr>
    </w:tbl>
    <w:p w14:paraId="004B044C" w14:textId="77777777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F07761" w14:textId="33093407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3045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грудні 2020 року до депутата звернулось </w:t>
      </w:r>
      <w:r w:rsidR="001002B7">
        <w:rPr>
          <w:rFonts w:ascii="Times New Roman" w:eastAsia="Times New Roman" w:hAnsi="Times New Roman" w:cs="Times New Roman"/>
          <w:color w:val="000000"/>
          <w:sz w:val="27"/>
          <w:szCs w:val="27"/>
        </w:rPr>
        <w:t>11 громадян зі своїми заявами, скаргами і пропозиціями, що були розглянуті і опрацьовані в межах повноважень депутата.</w:t>
      </w:r>
    </w:p>
    <w:p w14:paraId="138BEEA0" w14:textId="031DB03C" w:rsidR="00E51019" w:rsidRPr="00225A84" w:rsidRDefault="008536C4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firstLine="68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</w:t>
      </w:r>
      <w:r w:rsidR="00E222B2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рім того</w:t>
      </w:r>
      <w:r w:rsidR="00EC0EAF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="00E222B2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на постійній основі</w:t>
      </w:r>
      <w:r w:rsidR="00EC0EAF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="00E222B2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помічниками-консультантами надавалися юридичні консультації та правова допомога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мешканцям</w:t>
      </w:r>
      <w:r w:rsidR="00E222B2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14:paraId="576446D9" w14:textId="2511BC4C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На основі отриманої </w:t>
      </w:r>
      <w:r w:rsidR="00EC0E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інформації було направлено 9 депутатських звернень, 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адресованих до структурних підрозділів КМДА, районних у місті Києві державних адміністрацій, комунальних підприємств, установ та організацій</w:t>
      </w:r>
      <w:r w:rsidR="0035511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CFECA33" w14:textId="77777777" w:rsidR="00E51019" w:rsidRPr="00225A84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59FD86D" w14:textId="77777777" w:rsidR="00E51019" w:rsidRPr="00225A84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Використання депутатського фонду</w:t>
      </w:r>
    </w:p>
    <w:p w14:paraId="303E9588" w14:textId="77777777" w:rsidR="00E51019" w:rsidRPr="00225A84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FB4444" w14:textId="784FD41E" w:rsidR="00E51019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Кошти, передбачені</w:t>
      </w: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Програмою вирішення депутатами Київради соціально-економічних проблем, виконання передвиборних програм та доручень виборців на 2021 рік</w:t>
      </w:r>
      <w:r w:rsidR="00355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5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розпо</w:t>
      </w:r>
      <w:r w:rsidR="008536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ділені </w:t>
      </w:r>
      <w:r w:rsidR="00355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наступними</w:t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основними напрямами:</w:t>
      </w:r>
    </w:p>
    <w:p w14:paraId="7906B61D" w14:textId="77777777" w:rsidR="004606F8" w:rsidRPr="00225A84" w:rsidRDefault="004606F8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176D7F2" w14:textId="7D410CAD" w:rsidR="00E51019" w:rsidRPr="00594896" w:rsidRDefault="00E51019" w:rsidP="00E5101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6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Програми та заходи у сфері освіти (</w:t>
      </w:r>
      <w:r w:rsidR="0002261C"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90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000 грн)</w:t>
      </w:r>
    </w:p>
    <w:p w14:paraId="67472079" w14:textId="33C2250C" w:rsidR="00E51019" w:rsidRPr="00594896" w:rsidRDefault="00E51019" w:rsidP="00E5101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Діяльність у сфері житлово-комунального господарства (</w:t>
      </w:r>
      <w:r w:rsidR="0002261C"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450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000 грн)</w:t>
      </w:r>
    </w:p>
    <w:p w14:paraId="2EB5BFB0" w14:textId="47322C40" w:rsidR="00E51019" w:rsidRPr="00594896" w:rsidRDefault="00E51019" w:rsidP="00E5101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Заходи у сфері соціального захисту і соціального забезпечення (</w:t>
      </w:r>
      <w:r w:rsidR="0002261C"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450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000 грн)</w:t>
      </w:r>
    </w:p>
    <w:p w14:paraId="6AD87F38" w14:textId="3856B1AC" w:rsidR="0002261C" w:rsidRPr="00594896" w:rsidRDefault="0002261C" w:rsidP="00E5101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Заходи в галузі культури і мистецтва (10</w:t>
      </w:r>
      <w:r w:rsidR="008536C4"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000</w:t>
      </w:r>
      <w:r w:rsidR="008536C4"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грн)</w:t>
      </w:r>
    </w:p>
    <w:p w14:paraId="0D8794D6" w14:textId="77777777" w:rsidR="00E51019" w:rsidRPr="001025E0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ABA8DFF" w14:textId="1E83DF0B" w:rsidR="00E51019" w:rsidRPr="001025E0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</w:p>
    <w:p w14:paraId="3EFB82AD" w14:textId="1F9D5CC1" w:rsidR="00E51019" w:rsidRPr="001002B7" w:rsidRDefault="00E51019" w:rsidP="00E51019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Участь у засіданнях Київської міської ради та засіданнях постійної </w:t>
      </w:r>
      <w:r w:rsidR="001002B7" w:rsidRPr="00100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комісії</w:t>
      </w:r>
    </w:p>
    <w:p w14:paraId="51D10F5F" w14:textId="77777777" w:rsidR="00E51019" w:rsidRPr="001002B7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5C479843" w14:textId="77777777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Участь у засіданнях Київської міської ради</w:t>
      </w:r>
    </w:p>
    <w:p w14:paraId="41A919A2" w14:textId="77777777" w:rsidR="00E51019" w:rsidRPr="001002B7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14:paraId="0F4926C8" w14:textId="201B48B7" w:rsidR="00E51019" w:rsidRPr="00225A84" w:rsidRDefault="00E51019" w:rsidP="00022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З 1 грудня 2020 року по 31 грудня 2020 року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002B7">
        <w:rPr>
          <w:rFonts w:ascii="Times New Roman" w:eastAsia="Times New Roman" w:hAnsi="Times New Roman" w:cs="Times New Roman"/>
          <w:color w:val="000000"/>
          <w:sz w:val="27"/>
          <w:szCs w:val="27"/>
        </w:rPr>
        <w:t>Пашинна Л.В. взяла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участь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всіх 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пленарних 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засіданнях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ї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місько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ї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ІХ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2261C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046192B6" w14:textId="77777777" w:rsidR="00E51019" w:rsidRPr="001002B7" w:rsidRDefault="00E51019" w:rsidP="00E510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5379FF" w14:textId="31B7DB5C" w:rsidR="009B044A" w:rsidRPr="009B044A" w:rsidRDefault="00E51019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Робота в постійній комісії Київської міської ради </w:t>
      </w:r>
      <w:r w:rsidR="009B044A" w:rsidRPr="009B04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 питань бюджету</w:t>
      </w:r>
    </w:p>
    <w:p w14:paraId="511E37B5" w14:textId="7567388D" w:rsidR="00E51019" w:rsidRDefault="009B044A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9B04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та соціального-економічно розвитку</w:t>
      </w:r>
    </w:p>
    <w:p w14:paraId="13F17B27" w14:textId="77777777" w:rsidR="009B044A" w:rsidRPr="001002B7" w:rsidRDefault="009B044A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F4BF0C6" w14:textId="72ECD35F" w:rsidR="00E51019" w:rsidRPr="00892046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Київської міської ради</w:t>
      </w:r>
      <w:r w:rsidR="00AA68E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9172E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Лілію Пашинну</w:t>
      </w:r>
      <w:r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9172E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було обрано першим заступником Голови постійної комісії Київської міської ради з питань бюджету та соціально-економічного розвитку</w:t>
      </w:r>
      <w:r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14:paraId="6F60A37C" w14:textId="38D7FAB1" w:rsidR="00E51019" w:rsidRDefault="00E51019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AA68E0">
        <w:rPr>
          <w:rFonts w:ascii="Times New Roman" w:eastAsia="Times New Roman" w:hAnsi="Times New Roman" w:cs="Times New Roman"/>
          <w:color w:val="000000"/>
          <w:sz w:val="27"/>
          <w:szCs w:val="27"/>
        </w:rPr>
        <w:t>Комісія діє д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ля попереднього розгляду питань, що вносяться на розгляд Київради,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розробки проектів рішень, здійснення контролю за виконанням рішень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Київради та актів КМДА</w:t>
      </w:r>
      <w:r w:rsidR="00AA68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звітний період депутат була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присутня на</w:t>
      </w:r>
      <w:r w:rsidR="005948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всіх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засіданнях комісії, взяла безпосередню участь у розгляді питань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порядку денного, що виносились на розгляд комісії у 2020 році. З матеріалами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 комісії та всіма протоколами засідань можна ознайомитись на сайті</w:t>
      </w:r>
      <w:r w:rsid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B044A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Київради у відповідному розділі за посиланням: </w:t>
      </w:r>
      <w:hyperlink r:id="rId8" w:history="1">
        <w:r w:rsidR="009B044A" w:rsidRPr="009F31A5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https://kmr.gov.ua/uk/comisii/483</w:t>
        </w:r>
      </w:hyperlink>
    </w:p>
    <w:p w14:paraId="161F0492" w14:textId="77777777" w:rsidR="00AA68E0" w:rsidRPr="001002B7" w:rsidRDefault="00AA68E0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630B51" w14:textId="53294FF2" w:rsidR="00AA68E0" w:rsidRDefault="00AA68E0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68E0">
        <w:rPr>
          <w:rFonts w:ascii="Times New Roman" w:eastAsia="Times New Roman" w:hAnsi="Times New Roman" w:cs="Times New Roman"/>
          <w:color w:val="000000"/>
          <w:sz w:val="27"/>
          <w:szCs w:val="27"/>
        </w:rPr>
        <w:t>Окремо слід відзначити роботу над внесенням поправок до проєктів рішень Київської міської ради «Про програму економічного і соціального розвитку м.Києва на 2021-2023 роки» та «Про бюджет міста Києва на 2021 рік», за результатами опрацювання яких, були внесені зміни до вищезазначених програми та бюджету.</w:t>
      </w:r>
    </w:p>
    <w:p w14:paraId="1973CDDF" w14:textId="77777777" w:rsidR="009B044A" w:rsidRPr="001002B7" w:rsidRDefault="009B044A" w:rsidP="009B04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698654B" w14:textId="4699075E" w:rsidR="009B044A" w:rsidRPr="009B044A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рамках роботи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Лілія Пашинна</w:t>
      </w: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3F72A312" w14:textId="77777777" w:rsidR="009B044A" w:rsidRPr="009B044A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- займається попереднім розглядом проектів рішень Київської міської ради,</w:t>
      </w:r>
    </w:p>
    <w:p w14:paraId="2BE6C58D" w14:textId="77777777" w:rsidR="009B044A" w:rsidRPr="009B044A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0"/>
        </w:tabs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реалізація яких призведе до зміни показників бюджету міста;</w:t>
      </w:r>
    </w:p>
    <w:p w14:paraId="4F358E29" w14:textId="77777777" w:rsidR="009B044A" w:rsidRPr="009B044A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- здійснює контроль за виконанням рішень що стосуються бюджету міста</w:t>
      </w:r>
    </w:p>
    <w:p w14:paraId="549B8FDD" w14:textId="77777777" w:rsidR="009B044A" w:rsidRPr="009B044A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Києва, Програми соціально-економічного розвитку міста Києва та цільових</w:t>
      </w:r>
    </w:p>
    <w:p w14:paraId="434DCF0E" w14:textId="131B4682" w:rsidR="00E51019" w:rsidRPr="00225A84" w:rsidRDefault="009B044A" w:rsidP="001002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 з інших питань місцевого самоврядування.</w:t>
      </w:r>
      <w:r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cr/>
      </w:r>
      <w:r w:rsidR="00E51019" w:rsidRPr="00225A8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bookmarkStart w:id="2" w:name="3znysh7" w:colFirst="0" w:colLast="0"/>
      <w:bookmarkEnd w:id="2"/>
    </w:p>
    <w:p w14:paraId="1B0D373C" w14:textId="77777777" w:rsidR="00E51019" w:rsidRPr="001002B7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100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Пріоритети на 2021 рік</w:t>
      </w:r>
    </w:p>
    <w:p w14:paraId="650CC8E5" w14:textId="77777777" w:rsidR="00E51019" w:rsidRPr="001002B7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683D9B3" w14:textId="5D12924A" w:rsidR="00E51019" w:rsidRPr="00225A84" w:rsidRDefault="00E51019" w:rsidP="00E5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Пріоритетні напрями роботи </w:t>
      </w:r>
      <w:r w:rsidR="00E9172E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Лілії Пашин</w:t>
      </w:r>
      <w:r w:rsidR="009B044A" w:rsidRPr="008920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ої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>, як депутат</w:t>
      </w:r>
      <w:r w:rsidR="00AA68E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225A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Київської міської ради IX скликання в 2021 році:</w:t>
      </w:r>
    </w:p>
    <w:p w14:paraId="4FE1A659" w14:textId="0F14B554" w:rsidR="00E51019" w:rsidRDefault="00892046" w:rsidP="004A3250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2046">
        <w:rPr>
          <w:rFonts w:ascii="Times New Roman" w:hAnsi="Times New Roman" w:cs="Times New Roman"/>
          <w:sz w:val="27"/>
          <w:szCs w:val="27"/>
        </w:rPr>
        <w:t xml:space="preserve">Ініціювання </w:t>
      </w:r>
      <w:r>
        <w:rPr>
          <w:rFonts w:ascii="Times New Roman" w:hAnsi="Times New Roman" w:cs="Times New Roman"/>
          <w:sz w:val="27"/>
          <w:szCs w:val="27"/>
        </w:rPr>
        <w:t xml:space="preserve">передбачення видатків на </w:t>
      </w:r>
      <w:r w:rsidRPr="00892046">
        <w:rPr>
          <w:rFonts w:ascii="Times New Roman" w:hAnsi="Times New Roman" w:cs="Times New Roman"/>
          <w:sz w:val="27"/>
          <w:szCs w:val="27"/>
        </w:rPr>
        <w:t xml:space="preserve">реконструкцію будівель з добудовою додаткового корпусу для розміщення центру 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892046">
        <w:rPr>
          <w:rFonts w:ascii="Times New Roman" w:hAnsi="Times New Roman" w:cs="Times New Roman"/>
          <w:sz w:val="27"/>
          <w:szCs w:val="27"/>
        </w:rPr>
        <w:t>ейрореабілітації учасників АТО Київської міської клінічної лікарні №11 Дніпровського району м.Києва на вул.Рогозовській, 6</w:t>
      </w:r>
      <w:r>
        <w:rPr>
          <w:rFonts w:ascii="Times New Roman" w:hAnsi="Times New Roman" w:cs="Times New Roman"/>
          <w:sz w:val="27"/>
          <w:szCs w:val="27"/>
        </w:rPr>
        <w:t xml:space="preserve"> та здійснення контролю за вказаним об</w:t>
      </w:r>
      <w:r w:rsidRPr="00892046">
        <w:rPr>
          <w:rFonts w:ascii="Times New Roman" w:hAnsi="Times New Roman" w:cs="Times New Roman"/>
          <w:sz w:val="27"/>
          <w:szCs w:val="27"/>
        </w:rPr>
        <w:t>’</w:t>
      </w:r>
      <w:r>
        <w:rPr>
          <w:rFonts w:ascii="Times New Roman" w:hAnsi="Times New Roman" w:cs="Times New Roman"/>
          <w:sz w:val="27"/>
          <w:szCs w:val="27"/>
        </w:rPr>
        <w:t>єктом.</w:t>
      </w:r>
    </w:p>
    <w:p w14:paraId="125CBAE5" w14:textId="56B0643D" w:rsidR="00892046" w:rsidRDefault="00892046" w:rsidP="004A3250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Ініціювання передбачення видатків на</w:t>
      </w:r>
      <w:r w:rsidRPr="00892046">
        <w:rPr>
          <w:rFonts w:ascii="Times New Roman" w:hAnsi="Times New Roman" w:cs="Times New Roman"/>
          <w:sz w:val="27"/>
          <w:szCs w:val="27"/>
        </w:rPr>
        <w:t xml:space="preserve"> реалізацію міської програми співфінансування енергоефективних проєктів «70/30» в будинках ОСББ та ЖБК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7CAA9D7" w14:textId="77777777" w:rsidR="001002B7" w:rsidRDefault="00892046" w:rsidP="00854F6C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2B7">
        <w:rPr>
          <w:rFonts w:ascii="Times New Roman" w:hAnsi="Times New Roman" w:cs="Times New Roman"/>
          <w:sz w:val="27"/>
          <w:szCs w:val="27"/>
        </w:rPr>
        <w:t>Ініціювання пропозицій до переліку об</w:t>
      </w:r>
      <w:r w:rsidRPr="001002B7">
        <w:rPr>
          <w:rFonts w:ascii="Times New Roman" w:hAnsi="Times New Roman" w:cs="Times New Roman"/>
          <w:sz w:val="27"/>
          <w:szCs w:val="27"/>
          <w:lang w:val="ru-RU"/>
        </w:rPr>
        <w:t>’</w:t>
      </w:r>
      <w:r w:rsidRPr="001002B7">
        <w:rPr>
          <w:rFonts w:ascii="Times New Roman" w:hAnsi="Times New Roman" w:cs="Times New Roman"/>
          <w:sz w:val="27"/>
          <w:szCs w:val="27"/>
        </w:rPr>
        <w:t>єктів облаштування спортивних та дитячих майданчиків, покращення інфраструктури районів.</w:t>
      </w:r>
    </w:p>
    <w:p w14:paraId="5413355A" w14:textId="148B871A" w:rsidR="00892046" w:rsidRPr="001002B7" w:rsidRDefault="00892046" w:rsidP="00854F6C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2B7">
        <w:rPr>
          <w:rFonts w:ascii="Times New Roman" w:hAnsi="Times New Roman" w:cs="Times New Roman"/>
          <w:sz w:val="27"/>
          <w:szCs w:val="27"/>
        </w:rPr>
        <w:t>Ініціювання</w:t>
      </w:r>
      <w:r w:rsidR="005F632A" w:rsidRPr="001002B7">
        <w:rPr>
          <w:rFonts w:ascii="Times New Roman" w:hAnsi="Times New Roman" w:cs="Times New Roman"/>
          <w:sz w:val="27"/>
          <w:szCs w:val="27"/>
        </w:rPr>
        <w:t xml:space="preserve"> </w:t>
      </w:r>
      <w:r w:rsidRPr="001002B7">
        <w:rPr>
          <w:rFonts w:ascii="Times New Roman" w:hAnsi="Times New Roman" w:cs="Times New Roman"/>
          <w:sz w:val="27"/>
          <w:szCs w:val="27"/>
        </w:rPr>
        <w:t xml:space="preserve">покращення дорожньо-транспортної інфраструктури районів з </w:t>
      </w:r>
      <w:r w:rsidR="005F632A" w:rsidRPr="001002B7">
        <w:rPr>
          <w:rFonts w:ascii="Times New Roman" w:hAnsi="Times New Roman" w:cs="Times New Roman"/>
          <w:sz w:val="27"/>
          <w:szCs w:val="27"/>
        </w:rPr>
        <w:t>у</w:t>
      </w:r>
      <w:r w:rsidRPr="001002B7">
        <w:rPr>
          <w:rFonts w:ascii="Times New Roman" w:hAnsi="Times New Roman" w:cs="Times New Roman"/>
          <w:sz w:val="27"/>
          <w:szCs w:val="27"/>
        </w:rPr>
        <w:t>рахуванням потреб мешканців</w:t>
      </w:r>
      <w:r w:rsidR="005F632A" w:rsidRPr="001002B7">
        <w:rPr>
          <w:rFonts w:ascii="Times New Roman" w:hAnsi="Times New Roman" w:cs="Times New Roman"/>
          <w:sz w:val="27"/>
          <w:szCs w:val="27"/>
        </w:rPr>
        <w:t>.</w:t>
      </w:r>
    </w:p>
    <w:p w14:paraId="1EB79627" w14:textId="1817E3EE" w:rsidR="00E51019" w:rsidRPr="001002B7" w:rsidRDefault="005F632A" w:rsidP="003E001D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02B7">
        <w:rPr>
          <w:rFonts w:ascii="Times New Roman" w:hAnsi="Times New Roman" w:cs="Times New Roman"/>
          <w:sz w:val="27"/>
          <w:szCs w:val="27"/>
        </w:rPr>
        <w:t>Ініціювання видатків для потреб закладів освіти.</w:t>
      </w:r>
    </w:p>
    <w:p w14:paraId="04080647" w14:textId="77777777" w:rsidR="00B0032F" w:rsidRDefault="00B0032F"/>
    <w:sectPr w:rsidR="00B0032F" w:rsidSect="001002B7">
      <w:headerReference w:type="default" r:id="rId9"/>
      <w:footerReference w:type="default" r:id="rId10"/>
      <w:pgSz w:w="11900" w:h="16840"/>
      <w:pgMar w:top="426" w:right="850" w:bottom="28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6CE9" w14:textId="77777777" w:rsidR="008E08D2" w:rsidRDefault="008E08D2">
      <w:pPr>
        <w:spacing w:after="0" w:line="240" w:lineRule="auto"/>
      </w:pPr>
      <w:r>
        <w:separator/>
      </w:r>
    </w:p>
  </w:endnote>
  <w:endnote w:type="continuationSeparator" w:id="0">
    <w:p w14:paraId="2B3DE452" w14:textId="77777777" w:rsidR="008E08D2" w:rsidRDefault="008E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1DEB" w14:textId="77777777" w:rsidR="005F1189" w:rsidRDefault="008E08D2">
    <w:pPr>
      <w:pBdr>
        <w:top w:val="nil"/>
        <w:left w:val="nil"/>
        <w:bottom w:val="nil"/>
        <w:right w:val="nil"/>
        <w:between w:val="nil"/>
      </w:pBdr>
      <w:tabs>
        <w:tab w:val="right" w:pos="961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AE5AF" w14:textId="77777777" w:rsidR="008E08D2" w:rsidRDefault="008E08D2">
      <w:pPr>
        <w:spacing w:after="0" w:line="240" w:lineRule="auto"/>
      </w:pPr>
      <w:r>
        <w:separator/>
      </w:r>
    </w:p>
  </w:footnote>
  <w:footnote w:type="continuationSeparator" w:id="0">
    <w:p w14:paraId="0A4DDE3E" w14:textId="77777777" w:rsidR="008E08D2" w:rsidRDefault="008E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1CFE" w14:textId="77777777" w:rsidR="005F1189" w:rsidRDefault="008E08D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61"/>
    <w:multiLevelType w:val="multilevel"/>
    <w:tmpl w:val="1826F25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1" w15:restartNumberingAfterBreak="0">
    <w:nsid w:val="169E6B60"/>
    <w:multiLevelType w:val="multilevel"/>
    <w:tmpl w:val="2D28A56E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2" w15:restartNumberingAfterBreak="0">
    <w:nsid w:val="50725E46"/>
    <w:multiLevelType w:val="hybridMultilevel"/>
    <w:tmpl w:val="DC4CD232"/>
    <w:lvl w:ilvl="0" w:tplc="EA184D9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656B3C"/>
    <w:multiLevelType w:val="hybridMultilevel"/>
    <w:tmpl w:val="A798EC18"/>
    <w:lvl w:ilvl="0" w:tplc="A404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92665"/>
    <w:multiLevelType w:val="multilevel"/>
    <w:tmpl w:val="47E6C9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9"/>
    <w:rsid w:val="0002261C"/>
    <w:rsid w:val="000745DF"/>
    <w:rsid w:val="0009052E"/>
    <w:rsid w:val="001002B7"/>
    <w:rsid w:val="001025E0"/>
    <w:rsid w:val="001430CD"/>
    <w:rsid w:val="001657A6"/>
    <w:rsid w:val="003045DF"/>
    <w:rsid w:val="0035511F"/>
    <w:rsid w:val="003F3850"/>
    <w:rsid w:val="004223BB"/>
    <w:rsid w:val="00453AA3"/>
    <w:rsid w:val="004606F8"/>
    <w:rsid w:val="0048151E"/>
    <w:rsid w:val="004A3250"/>
    <w:rsid w:val="00513840"/>
    <w:rsid w:val="00540FB3"/>
    <w:rsid w:val="0057180E"/>
    <w:rsid w:val="00594896"/>
    <w:rsid w:val="005F632A"/>
    <w:rsid w:val="0074260C"/>
    <w:rsid w:val="00744FDE"/>
    <w:rsid w:val="00835377"/>
    <w:rsid w:val="008416A9"/>
    <w:rsid w:val="008536C4"/>
    <w:rsid w:val="00892046"/>
    <w:rsid w:val="008E08D2"/>
    <w:rsid w:val="009B044A"/>
    <w:rsid w:val="00A03780"/>
    <w:rsid w:val="00A61D04"/>
    <w:rsid w:val="00AA68E0"/>
    <w:rsid w:val="00AF42F2"/>
    <w:rsid w:val="00B0032F"/>
    <w:rsid w:val="00C95A98"/>
    <w:rsid w:val="00CA515D"/>
    <w:rsid w:val="00D24F44"/>
    <w:rsid w:val="00D57332"/>
    <w:rsid w:val="00E222B2"/>
    <w:rsid w:val="00E51019"/>
    <w:rsid w:val="00E9172E"/>
    <w:rsid w:val="00EC0EAF"/>
    <w:rsid w:val="00F044A1"/>
    <w:rsid w:val="00F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041"/>
  <w15:docId w15:val="{DFA417DB-6321-644B-A128-349EA198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19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0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1019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B0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misii/4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3435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Кузьменков Сергій Сергійович</cp:lastModifiedBy>
  <cp:revision>2</cp:revision>
  <dcterms:created xsi:type="dcterms:W3CDTF">2021-05-18T10:58:00Z</dcterms:created>
  <dcterms:modified xsi:type="dcterms:W3CDTF">2021-05-18T10:58:00Z</dcterms:modified>
</cp:coreProperties>
</file>