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BBF9" w14:textId="77777777" w:rsidR="00780DF1" w:rsidRPr="00D51E0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 xml:space="preserve">ВИТЯГ ПЛАНУ ЗАХОДІВ </w:t>
      </w:r>
    </w:p>
    <w:p w14:paraId="193A5032" w14:textId="77777777" w:rsidR="005E71F7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 xml:space="preserve">на 2025—2026 роки з реалізації Національної стратегії із створення </w:t>
      </w:r>
      <w:proofErr w:type="spellStart"/>
      <w:r w:rsidRPr="00D51E0F">
        <w:rPr>
          <w:rFonts w:ascii="Times New Roman" w:hAnsi="Times New Roman" w:cs="Times New Roman"/>
        </w:rPr>
        <w:t>безбар’єрного</w:t>
      </w:r>
      <w:proofErr w:type="spellEnd"/>
      <w:r w:rsidRPr="00D51E0F">
        <w:rPr>
          <w:rFonts w:ascii="Times New Roman" w:hAnsi="Times New Roman" w:cs="Times New Roman"/>
        </w:rPr>
        <w:t xml:space="preserve"> простору в Україні на період до 2030 року</w:t>
      </w:r>
      <w:r w:rsidR="00827C80" w:rsidRPr="00D51E0F">
        <w:rPr>
          <w:rFonts w:ascii="Times New Roman" w:hAnsi="Times New Roman" w:cs="Times New Roman"/>
        </w:rPr>
        <w:t xml:space="preserve"> </w:t>
      </w:r>
      <w:r w:rsidR="005E71F7">
        <w:rPr>
          <w:rFonts w:ascii="Times New Roman" w:hAnsi="Times New Roman" w:cs="Times New Roman"/>
        </w:rPr>
        <w:t xml:space="preserve">в місті Києві </w:t>
      </w:r>
    </w:p>
    <w:p w14:paraId="76433099" w14:textId="59ACC69B" w:rsidR="00BC72AF" w:rsidRPr="00D51E0F" w:rsidRDefault="009B4685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E0F">
        <w:rPr>
          <w:rFonts w:ascii="Times New Roman" w:hAnsi="Times New Roman" w:cs="Times New Roman"/>
        </w:rPr>
        <w:t>за І квартал 202</w:t>
      </w:r>
      <w:r w:rsidR="00E264A5">
        <w:rPr>
          <w:rFonts w:ascii="Times New Roman" w:hAnsi="Times New Roman" w:cs="Times New Roman"/>
        </w:rPr>
        <w:t>6</w:t>
      </w:r>
      <w:r w:rsidRPr="00D51E0F">
        <w:rPr>
          <w:rFonts w:ascii="Times New Roman" w:hAnsi="Times New Roman" w:cs="Times New Roman"/>
        </w:rPr>
        <w:t xml:space="preserve"> року</w:t>
      </w:r>
    </w:p>
    <w:p w14:paraId="0AAC4211" w14:textId="77777777" w:rsidR="00780DF1" w:rsidRPr="00D51E0F" w:rsidRDefault="00780DF1" w:rsidP="00F21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134"/>
        <w:gridCol w:w="1701"/>
        <w:gridCol w:w="4395"/>
        <w:gridCol w:w="1984"/>
      </w:tblGrid>
      <w:tr w:rsidR="00850F1D" w:rsidRPr="00D51E0F" w14:paraId="20E39AE1" w14:textId="77777777" w:rsidTr="00170C14">
        <w:tc>
          <w:tcPr>
            <w:tcW w:w="2405" w:type="dxa"/>
          </w:tcPr>
          <w:p w14:paraId="0D6F299F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Найменування завдання</w:t>
            </w:r>
          </w:p>
        </w:tc>
        <w:tc>
          <w:tcPr>
            <w:tcW w:w="2552" w:type="dxa"/>
          </w:tcPr>
          <w:p w14:paraId="7C9C6903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Найменування заходу</w:t>
            </w:r>
          </w:p>
        </w:tc>
        <w:tc>
          <w:tcPr>
            <w:tcW w:w="1275" w:type="dxa"/>
          </w:tcPr>
          <w:p w14:paraId="17759765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Строк виконання</w:t>
            </w:r>
          </w:p>
        </w:tc>
        <w:tc>
          <w:tcPr>
            <w:tcW w:w="1134" w:type="dxa"/>
          </w:tcPr>
          <w:p w14:paraId="153DC88C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Джерела фінансування</w:t>
            </w:r>
          </w:p>
        </w:tc>
        <w:tc>
          <w:tcPr>
            <w:tcW w:w="1701" w:type="dxa"/>
          </w:tcPr>
          <w:p w14:paraId="7E4367F1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Відповідальні за виконання</w:t>
            </w:r>
          </w:p>
        </w:tc>
        <w:tc>
          <w:tcPr>
            <w:tcW w:w="4395" w:type="dxa"/>
          </w:tcPr>
          <w:p w14:paraId="7AF77485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Індикатор виконання</w:t>
            </w:r>
          </w:p>
        </w:tc>
        <w:tc>
          <w:tcPr>
            <w:tcW w:w="1984" w:type="dxa"/>
          </w:tcPr>
          <w:p w14:paraId="023E08C8" w14:textId="77777777" w:rsidR="00850F1D" w:rsidRPr="00D51E0F" w:rsidRDefault="00850F1D" w:rsidP="004A242A">
            <w:pPr>
              <w:pStyle w:val="Default"/>
              <w:jc w:val="center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>Посилання на виконання заходу</w:t>
            </w:r>
          </w:p>
        </w:tc>
      </w:tr>
      <w:tr w:rsidR="00247D81" w:rsidRPr="00D51E0F" w14:paraId="440B00FE" w14:textId="77777777" w:rsidTr="00170C14">
        <w:trPr>
          <w:trHeight w:val="231"/>
        </w:trPr>
        <w:tc>
          <w:tcPr>
            <w:tcW w:w="15446" w:type="dxa"/>
            <w:gridSpan w:val="7"/>
            <w:vAlign w:val="center"/>
          </w:tcPr>
          <w:p w14:paraId="5C9B11E9" w14:textId="42302C1B" w:rsidR="00247D81" w:rsidRPr="00D51E0F" w:rsidRDefault="00247D81" w:rsidP="00247D81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 xml:space="preserve">Напрям </w:t>
            </w:r>
            <w:r w:rsidR="004B7F68" w:rsidRPr="00D51E0F">
              <w:rPr>
                <w:rFonts w:ascii="Times New Roman" w:hAnsi="Times New Roman" w:cs="Times New Roman"/>
              </w:rPr>
              <w:t>2</w:t>
            </w:r>
            <w:r w:rsidRPr="00D51E0F">
              <w:rPr>
                <w:rFonts w:ascii="Times New Roman" w:hAnsi="Times New Roman" w:cs="Times New Roman"/>
              </w:rPr>
              <w:t xml:space="preserve">. </w:t>
            </w:r>
            <w:r w:rsidR="004B7F68" w:rsidRPr="00D51E0F">
              <w:rPr>
                <w:rFonts w:ascii="Times New Roman" w:hAnsi="Times New Roman" w:cs="Times New Roman"/>
              </w:rPr>
              <w:t>Інформаційна</w:t>
            </w:r>
            <w:r w:rsidRPr="00D51E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1E0F">
              <w:rPr>
                <w:rFonts w:ascii="Times New Roman" w:hAnsi="Times New Roman" w:cs="Times New Roman"/>
              </w:rPr>
              <w:t>безбар’єрність</w:t>
            </w:r>
            <w:proofErr w:type="spellEnd"/>
          </w:p>
        </w:tc>
      </w:tr>
      <w:tr w:rsidR="00247D81" w:rsidRPr="00D51E0F" w14:paraId="6AEF1C0B" w14:textId="77777777" w:rsidTr="00170C14">
        <w:trPr>
          <w:trHeight w:val="231"/>
        </w:trPr>
        <w:tc>
          <w:tcPr>
            <w:tcW w:w="15446" w:type="dxa"/>
            <w:gridSpan w:val="7"/>
            <w:vAlign w:val="center"/>
          </w:tcPr>
          <w:p w14:paraId="4F682F65" w14:textId="6851A780" w:rsidR="00247D81" w:rsidRPr="00D51E0F" w:rsidRDefault="00247D81" w:rsidP="00247D81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>Стратегічна ціль</w:t>
            </w:r>
            <w:r w:rsidR="00743084">
              <w:rPr>
                <w:rFonts w:ascii="Times New Roman" w:hAnsi="Times New Roman" w:cs="Times New Roman"/>
              </w:rPr>
              <w:t xml:space="preserve"> 2.2.</w:t>
            </w:r>
            <w:r w:rsidRPr="00D51E0F">
              <w:rPr>
                <w:rFonts w:ascii="Times New Roman" w:hAnsi="Times New Roman" w:cs="Times New Roman"/>
              </w:rPr>
              <w:t xml:space="preserve"> </w:t>
            </w:r>
            <w:r w:rsidR="004B7F68" w:rsidRPr="00D51E0F">
              <w:rPr>
                <w:rFonts w:ascii="Times New Roman" w:hAnsi="Times New Roman" w:cs="Times New Roman"/>
              </w:rPr>
              <w:t>Перетворення Києва у місто, відкрите для бізнесу</w:t>
            </w:r>
          </w:p>
        </w:tc>
      </w:tr>
      <w:tr w:rsidR="00235E1B" w:rsidRPr="00D51E0F" w14:paraId="381833C0" w14:textId="77777777" w:rsidTr="00170C14">
        <w:trPr>
          <w:trHeight w:val="108"/>
        </w:trPr>
        <w:tc>
          <w:tcPr>
            <w:tcW w:w="15446" w:type="dxa"/>
            <w:gridSpan w:val="7"/>
          </w:tcPr>
          <w:p w14:paraId="42C26E8F" w14:textId="0A68386F" w:rsidR="00235E1B" w:rsidRPr="00D51E0F" w:rsidRDefault="00235E1B" w:rsidP="001C18DE">
            <w:pPr>
              <w:jc w:val="center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>Стратегічна ціль</w:t>
            </w:r>
            <w:r w:rsidR="001C18DE">
              <w:rPr>
                <w:rFonts w:ascii="Times New Roman" w:hAnsi="Times New Roman" w:cs="Times New Roman"/>
              </w:rPr>
              <w:t xml:space="preserve"> 2.6.</w:t>
            </w:r>
            <w:r w:rsidRPr="00D51E0F">
              <w:rPr>
                <w:rFonts w:ascii="Times New Roman" w:hAnsi="Times New Roman" w:cs="Times New Roman"/>
              </w:rPr>
              <w:t xml:space="preserve"> Доступність для всіх інформації, яка надходить від суб’єктів владних повноважень</w:t>
            </w:r>
          </w:p>
        </w:tc>
      </w:tr>
      <w:tr w:rsidR="00170C14" w:rsidRPr="00D51E0F" w14:paraId="46F2E971" w14:textId="77777777" w:rsidTr="00170C14">
        <w:trPr>
          <w:trHeight w:val="676"/>
        </w:trPr>
        <w:tc>
          <w:tcPr>
            <w:tcW w:w="2405" w:type="dxa"/>
          </w:tcPr>
          <w:p w14:paraId="0967A1AB" w14:textId="6C28A4DA" w:rsidR="00170C14" w:rsidRPr="00D51E0F" w:rsidRDefault="00170C14" w:rsidP="00170C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51E0F">
              <w:rPr>
                <w:rFonts w:ascii="Times New Roman" w:hAnsi="Times New Roman" w:cs="Times New Roman"/>
              </w:rPr>
              <w:t xml:space="preserve">2.6.2. Проведення інформаційних кампаній,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rFonts w:ascii="Times New Roman" w:hAnsi="Times New Roman" w:cs="Times New Roman"/>
              </w:rPr>
              <w:t>б</w:t>
            </w:r>
            <w:r w:rsidR="002B1E09"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збар’</w:t>
            </w:r>
            <w:r w:rsidR="00A03E26">
              <w:rPr>
                <w:rFonts w:ascii="Times New Roman" w:hAnsi="Times New Roman" w:cs="Times New Roman"/>
              </w:rPr>
              <w:t>є</w:t>
            </w:r>
            <w:r w:rsidRPr="00D51E0F">
              <w:rPr>
                <w:rFonts w:ascii="Times New Roman" w:hAnsi="Times New Roman" w:cs="Times New Roman"/>
              </w:rPr>
              <w:t>рності</w:t>
            </w:r>
            <w:proofErr w:type="spellEnd"/>
            <w:r w:rsidRPr="00D51E0F">
              <w:rPr>
                <w:rFonts w:ascii="Times New Roman" w:hAnsi="Times New Roman" w:cs="Times New Roman"/>
              </w:rPr>
              <w:t>. Наприклад: щодо освітніх можливостей для людей різного віку, про фінансову грамотність, п</w:t>
            </w:r>
            <w:r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профілювання; для водіїв - з м</w:t>
            </w:r>
            <w:r w:rsidR="002B1E09">
              <w:rPr>
                <w:rFonts w:ascii="Times New Roman" w:hAnsi="Times New Roman" w:cs="Times New Roman"/>
              </w:rPr>
              <w:t>е</w:t>
            </w:r>
            <w:r w:rsidRPr="00D51E0F">
              <w:rPr>
                <w:rFonts w:ascii="Times New Roman" w:hAnsi="Times New Roman" w:cs="Times New Roman"/>
              </w:rPr>
              <w:t>тою запобігання паркування авто на тактильній плитці або поблизу (із залученням профільних структурних підрозділів та Департаменту суспільних комунікацій).</w:t>
            </w:r>
          </w:p>
        </w:tc>
        <w:tc>
          <w:tcPr>
            <w:tcW w:w="2552" w:type="dxa"/>
          </w:tcPr>
          <w:p w14:paraId="67B1C9ED" w14:textId="354DFCF6" w:rsidR="00170C14" w:rsidRPr="00D51E0F" w:rsidRDefault="00170C14" w:rsidP="00170C14">
            <w:pPr>
              <w:pStyle w:val="Default"/>
              <w:rPr>
                <w:sz w:val="22"/>
                <w:szCs w:val="22"/>
              </w:rPr>
            </w:pPr>
            <w:r w:rsidRPr="00D51E0F">
              <w:rPr>
                <w:sz w:val="22"/>
                <w:szCs w:val="22"/>
              </w:rPr>
              <w:t xml:space="preserve">2.6.2.1. Розробка інформаційних кампаній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sz w:val="22"/>
                <w:szCs w:val="22"/>
              </w:rPr>
              <w:t>безбар'</w:t>
            </w:r>
            <w:r w:rsidR="002B1E09">
              <w:rPr>
                <w:sz w:val="22"/>
                <w:szCs w:val="22"/>
              </w:rPr>
              <w:t>є</w:t>
            </w:r>
            <w:r w:rsidRPr="00D51E0F">
              <w:rPr>
                <w:sz w:val="22"/>
                <w:szCs w:val="22"/>
              </w:rPr>
              <w:t>рності</w:t>
            </w:r>
            <w:proofErr w:type="spellEnd"/>
            <w:r w:rsidRPr="00D51E0F">
              <w:rPr>
                <w:sz w:val="22"/>
                <w:szCs w:val="22"/>
              </w:rPr>
              <w:t xml:space="preserve">. Проведення інформаційних кампаній спрямованих на забезпечення широкої обізнаності та розуміння серед різних груп населення столиці суспільної цінності </w:t>
            </w:r>
            <w:proofErr w:type="spellStart"/>
            <w:r w:rsidRPr="00D51E0F">
              <w:rPr>
                <w:sz w:val="22"/>
                <w:szCs w:val="22"/>
              </w:rPr>
              <w:t>безбар’</w:t>
            </w:r>
            <w:r w:rsidR="002B1E09">
              <w:rPr>
                <w:sz w:val="22"/>
                <w:szCs w:val="22"/>
              </w:rPr>
              <w:t>є</w:t>
            </w:r>
            <w:r w:rsidRPr="00D51E0F">
              <w:rPr>
                <w:sz w:val="22"/>
                <w:szCs w:val="22"/>
              </w:rPr>
              <w:t>рності</w:t>
            </w:r>
            <w:proofErr w:type="spellEnd"/>
            <w:r w:rsidRPr="00D51E0F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2A9C7AC4" w14:textId="1C80902A" w:rsidR="00170C14" w:rsidRPr="00FC709A" w:rsidRDefault="00170C14" w:rsidP="002B1E09">
            <w:pPr>
              <w:pStyle w:val="Default"/>
              <w:rPr>
                <w:sz w:val="22"/>
                <w:szCs w:val="22"/>
              </w:rPr>
            </w:pPr>
            <w:r w:rsidRPr="00FC709A">
              <w:rPr>
                <w:sz w:val="22"/>
                <w:szCs w:val="22"/>
              </w:rPr>
              <w:t>січень 2025 р.</w:t>
            </w:r>
            <w:r w:rsidR="002B1E09">
              <w:rPr>
                <w:sz w:val="22"/>
                <w:szCs w:val="22"/>
              </w:rPr>
              <w:t xml:space="preserve"> </w:t>
            </w:r>
            <w:r w:rsidRPr="00FC709A">
              <w:rPr>
                <w:sz w:val="22"/>
                <w:szCs w:val="22"/>
              </w:rPr>
              <w:t>- грудень 2026 р.</w:t>
            </w:r>
          </w:p>
        </w:tc>
        <w:tc>
          <w:tcPr>
            <w:tcW w:w="1134" w:type="dxa"/>
            <w:vAlign w:val="center"/>
          </w:tcPr>
          <w:p w14:paraId="501E79BC" w14:textId="29CB3A62" w:rsidR="00170C14" w:rsidRPr="00FC709A" w:rsidRDefault="00170C14" w:rsidP="00170C1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0F48B" w14:textId="6AC00711" w:rsidR="00170C14" w:rsidRPr="00FC709A" w:rsidRDefault="00170C14" w:rsidP="00170C14">
            <w:pPr>
              <w:rPr>
                <w:rFonts w:ascii="Times New Roman" w:hAnsi="Times New Roman" w:cs="Times New Roman"/>
              </w:rPr>
            </w:pPr>
            <w:r w:rsidRPr="005E71F7">
              <w:rPr>
                <w:rFonts w:ascii="Times New Roman" w:hAnsi="Times New Roman" w:cs="Times New Roman"/>
              </w:rPr>
              <w:t>Департаментом з питань реєстрації міста Києва</w:t>
            </w:r>
          </w:p>
        </w:tc>
        <w:tc>
          <w:tcPr>
            <w:tcW w:w="4395" w:type="dxa"/>
          </w:tcPr>
          <w:p w14:paraId="15A812A5" w14:textId="203A30E0" w:rsidR="002139FB" w:rsidRDefault="00170C14" w:rsidP="00754FD0">
            <w:pPr>
              <w:pStyle w:val="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170C14">
              <w:rPr>
                <w:sz w:val="20"/>
                <w:szCs w:val="20"/>
              </w:rPr>
              <w:t xml:space="preserve">Проведено </w:t>
            </w:r>
            <w:r w:rsidR="002139FB" w:rsidRPr="00B40C4F">
              <w:rPr>
                <w:sz w:val="20"/>
                <w:szCs w:val="20"/>
              </w:rPr>
              <w:t>роботу з інформування громадськості шляхом</w:t>
            </w:r>
            <w:r w:rsidRPr="00170C14">
              <w:rPr>
                <w:sz w:val="20"/>
                <w:szCs w:val="20"/>
              </w:rPr>
              <w:t xml:space="preserve"> розміщен</w:t>
            </w:r>
            <w:r w:rsidR="002139FB">
              <w:rPr>
                <w:sz w:val="20"/>
                <w:szCs w:val="20"/>
              </w:rPr>
              <w:t>ня</w:t>
            </w:r>
            <w:r w:rsidRPr="00170C14">
              <w:rPr>
                <w:sz w:val="20"/>
                <w:szCs w:val="20"/>
              </w:rPr>
              <w:t xml:space="preserve"> інформаці</w:t>
            </w:r>
            <w:r w:rsidR="002139FB">
              <w:rPr>
                <w:sz w:val="20"/>
                <w:szCs w:val="20"/>
              </w:rPr>
              <w:t>ї</w:t>
            </w:r>
            <w:r w:rsidRPr="00170C14">
              <w:rPr>
                <w:sz w:val="20"/>
                <w:szCs w:val="20"/>
              </w:rPr>
              <w:t xml:space="preserve"> на веб-сайтах Департаменту </w:t>
            </w:r>
            <w:r w:rsidR="004B11FF" w:rsidRPr="00545761">
              <w:rPr>
                <w:sz w:val="20"/>
                <w:szCs w:val="20"/>
              </w:rPr>
              <w:t>з питань реєстрації міста Києва</w:t>
            </w:r>
            <w:r w:rsidR="004B11FF" w:rsidRPr="00B245BF">
              <w:rPr>
                <w:sz w:val="20"/>
                <w:szCs w:val="20"/>
              </w:rPr>
              <w:t xml:space="preserve"> </w:t>
            </w:r>
            <w:r w:rsidR="004B11FF" w:rsidRPr="00B245BF">
              <w:rPr>
                <w:sz w:val="20"/>
                <w:szCs w:val="20"/>
              </w:rPr>
              <w:t>в інформаційно-телекомунікаційній системі «Єдиний веб-портал територіальної громади міста Києва»</w:t>
            </w:r>
            <w:r w:rsidR="002139FB">
              <w:rPr>
                <w:sz w:val="20"/>
                <w:szCs w:val="20"/>
              </w:rPr>
              <w:t>.</w:t>
            </w:r>
          </w:p>
          <w:p w14:paraId="3399DC17" w14:textId="7371BFDD" w:rsidR="00545761" w:rsidRDefault="00545761" w:rsidP="00754FD0">
            <w:pPr>
              <w:pStyle w:val="1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545761">
              <w:rPr>
                <w:sz w:val="20"/>
                <w:szCs w:val="20"/>
              </w:rPr>
              <w:t xml:space="preserve">Забезпечено участь у навчанні працівниками Департаменту з питань реєстрації міста Києва </w:t>
            </w:r>
            <w:r w:rsidR="00754FD0" w:rsidRPr="00B245BF">
              <w:rPr>
                <w:sz w:val="20"/>
                <w:szCs w:val="20"/>
              </w:rPr>
              <w:t xml:space="preserve">«З питань </w:t>
            </w:r>
            <w:proofErr w:type="spellStart"/>
            <w:r w:rsidR="00754FD0" w:rsidRPr="00B245BF">
              <w:rPr>
                <w:sz w:val="20"/>
                <w:szCs w:val="20"/>
              </w:rPr>
              <w:t>безбар’єрності</w:t>
            </w:r>
            <w:proofErr w:type="spellEnd"/>
            <w:r w:rsidR="00754FD0" w:rsidRPr="00B245BF">
              <w:rPr>
                <w:sz w:val="20"/>
                <w:szCs w:val="20"/>
              </w:rPr>
              <w:t xml:space="preserve"> для публічних службовців», «Гендерний підхід у місцевих та міжнародних політиках» та «Дотримання прав людини та протидія дискримінації»</w:t>
            </w:r>
            <w:r w:rsidRPr="00545761">
              <w:rPr>
                <w:sz w:val="20"/>
                <w:szCs w:val="20"/>
              </w:rPr>
              <w:t>.</w:t>
            </w:r>
          </w:p>
          <w:p w14:paraId="3D224AC5" w14:textId="77678C98" w:rsidR="00170C14" w:rsidRPr="00170C14" w:rsidRDefault="00170C14" w:rsidP="00170C14">
            <w:pPr>
              <w:jc w:val="both"/>
              <w:rPr>
                <w:rFonts w:ascii="Times New Roman" w:hAnsi="Times New Roman" w:cs="Times New Roman"/>
              </w:rPr>
            </w:pPr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У Департаменті</w:t>
            </w:r>
            <w:r w:rsidR="004B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1FF" w:rsidRPr="004B11FF">
              <w:rPr>
                <w:rFonts w:ascii="Times New Roman" w:hAnsi="Times New Roman" w:cs="Times New Roman"/>
                <w:sz w:val="20"/>
                <w:szCs w:val="20"/>
              </w:rPr>
              <w:t>з питань реєстрації міста Києва</w:t>
            </w:r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 пров</w:t>
            </w:r>
            <w:r w:rsidR="004B11FF">
              <w:rPr>
                <w:rFonts w:ascii="Times New Roman" w:hAnsi="Times New Roman" w:cs="Times New Roman"/>
                <w:sz w:val="20"/>
                <w:szCs w:val="20"/>
              </w:rPr>
              <w:t>едено</w:t>
            </w:r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 протокольні наради за участю працівників </w:t>
            </w:r>
            <w:r w:rsidRPr="004B11FF">
              <w:rPr>
                <w:rFonts w:ascii="Times New Roman" w:hAnsi="Times New Roman" w:cs="Times New Roman"/>
                <w:sz w:val="20"/>
                <w:szCs w:val="20"/>
              </w:rPr>
              <w:t>Департаменту</w:t>
            </w:r>
            <w:r w:rsidR="004B11FF" w:rsidRPr="004B1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1FF" w:rsidRPr="004B11FF">
              <w:rPr>
                <w:rFonts w:ascii="Times New Roman" w:hAnsi="Times New Roman" w:cs="Times New Roman"/>
                <w:sz w:val="20"/>
                <w:szCs w:val="20"/>
              </w:rPr>
              <w:t>з питань реєстрації міста Києва</w:t>
            </w:r>
            <w:r w:rsidRPr="004B11FF">
              <w:rPr>
                <w:rFonts w:ascii="Times New Roman" w:hAnsi="Times New Roman" w:cs="Times New Roman"/>
                <w:sz w:val="20"/>
                <w:szCs w:val="20"/>
              </w:rPr>
              <w:t xml:space="preserve"> щодо</w:t>
            </w:r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безбар’єрного</w:t>
            </w:r>
            <w:proofErr w:type="spellEnd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 xml:space="preserve"> середовища, яке включає фізичну, інформаційну, цифрову, громадянську, освітню, економічну </w:t>
            </w:r>
            <w:proofErr w:type="spellStart"/>
            <w:r w:rsidRPr="00170C14">
              <w:rPr>
                <w:rFonts w:ascii="Times New Roman" w:hAnsi="Times New Roman" w:cs="Times New Roman"/>
                <w:sz w:val="20"/>
                <w:szCs w:val="20"/>
              </w:rPr>
              <w:t>безбар’єрність</w:t>
            </w:r>
            <w:proofErr w:type="spellEnd"/>
          </w:p>
        </w:tc>
        <w:tc>
          <w:tcPr>
            <w:tcW w:w="1984" w:type="dxa"/>
          </w:tcPr>
          <w:p w14:paraId="7B721D68" w14:textId="77777777" w:rsidR="00170C14" w:rsidRDefault="00170C14" w:rsidP="00170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3DF2593" w14:textId="77777777" w:rsidR="00170C14" w:rsidRDefault="00170C14" w:rsidP="00170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6FEB" w14:textId="77777777" w:rsidR="00170C14" w:rsidRPr="0077773E" w:rsidRDefault="00170C14" w:rsidP="00170C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9" w:history="1">
              <w:r w:rsidRPr="002A66A0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https://dpr.kyivcity.gov.ua/</w:t>
              </w:r>
            </w:hyperlink>
            <w:r w:rsidRPr="007777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9B2BF9" w14:textId="77777777" w:rsidR="00170C14" w:rsidRPr="00D51E0F" w:rsidRDefault="00170C14" w:rsidP="00170C14">
            <w:pPr>
              <w:rPr>
                <w:rFonts w:ascii="Times New Roman" w:hAnsi="Times New Roman" w:cs="Times New Roman"/>
              </w:rPr>
            </w:pPr>
          </w:p>
        </w:tc>
      </w:tr>
    </w:tbl>
    <w:p w14:paraId="3D84A96B" w14:textId="77777777" w:rsidR="00BC72AF" w:rsidRPr="00D51E0F" w:rsidRDefault="00BC72AF" w:rsidP="00545E6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BC72AF" w:rsidRPr="00D51E0F" w:rsidSect="00B40C4F">
      <w:pgSz w:w="16838" w:h="11906" w:orient="landscape"/>
      <w:pgMar w:top="567" w:right="850" w:bottom="284" w:left="850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334D" w14:textId="77777777" w:rsidR="008937FA" w:rsidRDefault="008937FA" w:rsidP="00F21C5D">
      <w:pPr>
        <w:spacing w:after="0" w:line="240" w:lineRule="auto"/>
      </w:pPr>
      <w:r>
        <w:separator/>
      </w:r>
    </w:p>
  </w:endnote>
  <w:endnote w:type="continuationSeparator" w:id="0">
    <w:p w14:paraId="53A16F16" w14:textId="77777777" w:rsidR="008937FA" w:rsidRDefault="008937FA" w:rsidP="00F21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C8A4" w14:textId="77777777" w:rsidR="008937FA" w:rsidRDefault="008937FA" w:rsidP="00F21C5D">
      <w:pPr>
        <w:spacing w:after="0" w:line="240" w:lineRule="auto"/>
      </w:pPr>
      <w:r>
        <w:separator/>
      </w:r>
    </w:p>
  </w:footnote>
  <w:footnote w:type="continuationSeparator" w:id="0">
    <w:p w14:paraId="41C45738" w14:textId="77777777" w:rsidR="008937FA" w:rsidRDefault="008937FA" w:rsidP="00F21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F588C"/>
    <w:multiLevelType w:val="hybridMultilevel"/>
    <w:tmpl w:val="D56061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6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AF"/>
    <w:rsid w:val="00005D78"/>
    <w:rsid w:val="00023C79"/>
    <w:rsid w:val="0002683B"/>
    <w:rsid w:val="00034D64"/>
    <w:rsid w:val="000414B5"/>
    <w:rsid w:val="00056E12"/>
    <w:rsid w:val="00064A93"/>
    <w:rsid w:val="0008496F"/>
    <w:rsid w:val="00086C0E"/>
    <w:rsid w:val="000A3907"/>
    <w:rsid w:val="000A3EF1"/>
    <w:rsid w:val="000B00A0"/>
    <w:rsid w:val="000B5E0F"/>
    <w:rsid w:val="000D28EC"/>
    <w:rsid w:val="000E245E"/>
    <w:rsid w:val="00110287"/>
    <w:rsid w:val="001208E6"/>
    <w:rsid w:val="00121963"/>
    <w:rsid w:val="00170C14"/>
    <w:rsid w:val="00171BD8"/>
    <w:rsid w:val="00195F4A"/>
    <w:rsid w:val="001B2E47"/>
    <w:rsid w:val="001C18DE"/>
    <w:rsid w:val="001C41B4"/>
    <w:rsid w:val="001C5329"/>
    <w:rsid w:val="001E05A8"/>
    <w:rsid w:val="001E49CA"/>
    <w:rsid w:val="001F7B9E"/>
    <w:rsid w:val="00200DA8"/>
    <w:rsid w:val="0020640E"/>
    <w:rsid w:val="00210CA1"/>
    <w:rsid w:val="002139FB"/>
    <w:rsid w:val="002142AD"/>
    <w:rsid w:val="00230226"/>
    <w:rsid w:val="00235E1B"/>
    <w:rsid w:val="00247D81"/>
    <w:rsid w:val="002843EA"/>
    <w:rsid w:val="002A63CA"/>
    <w:rsid w:val="002B1E09"/>
    <w:rsid w:val="002B4A71"/>
    <w:rsid w:val="002D3F76"/>
    <w:rsid w:val="002F7981"/>
    <w:rsid w:val="00336CC3"/>
    <w:rsid w:val="00373ABD"/>
    <w:rsid w:val="00394798"/>
    <w:rsid w:val="003B55A5"/>
    <w:rsid w:val="003E0BA9"/>
    <w:rsid w:val="00433F0F"/>
    <w:rsid w:val="00434CA2"/>
    <w:rsid w:val="00447E2E"/>
    <w:rsid w:val="004A242A"/>
    <w:rsid w:val="004B11FF"/>
    <w:rsid w:val="004B2965"/>
    <w:rsid w:val="004B7F68"/>
    <w:rsid w:val="004C3B67"/>
    <w:rsid w:val="004D2FBB"/>
    <w:rsid w:val="004E59A2"/>
    <w:rsid w:val="004F05F7"/>
    <w:rsid w:val="00501A12"/>
    <w:rsid w:val="00511F86"/>
    <w:rsid w:val="00517988"/>
    <w:rsid w:val="00534F4C"/>
    <w:rsid w:val="00545761"/>
    <w:rsid w:val="00545E6B"/>
    <w:rsid w:val="00552EA4"/>
    <w:rsid w:val="0057021F"/>
    <w:rsid w:val="00587BFE"/>
    <w:rsid w:val="00592277"/>
    <w:rsid w:val="005D4B62"/>
    <w:rsid w:val="005E071F"/>
    <w:rsid w:val="005E2C7A"/>
    <w:rsid w:val="005E71F7"/>
    <w:rsid w:val="0060645A"/>
    <w:rsid w:val="00625430"/>
    <w:rsid w:val="006C1FD9"/>
    <w:rsid w:val="006F1FD3"/>
    <w:rsid w:val="007421F9"/>
    <w:rsid w:val="00743084"/>
    <w:rsid w:val="00754FD0"/>
    <w:rsid w:val="0077773E"/>
    <w:rsid w:val="00780BA4"/>
    <w:rsid w:val="00780DF1"/>
    <w:rsid w:val="007D795C"/>
    <w:rsid w:val="007F2540"/>
    <w:rsid w:val="00821158"/>
    <w:rsid w:val="00822228"/>
    <w:rsid w:val="00822841"/>
    <w:rsid w:val="00827C80"/>
    <w:rsid w:val="008506B7"/>
    <w:rsid w:val="00850F1D"/>
    <w:rsid w:val="00881EDD"/>
    <w:rsid w:val="008937FA"/>
    <w:rsid w:val="008C5480"/>
    <w:rsid w:val="008D0A7D"/>
    <w:rsid w:val="008D25DD"/>
    <w:rsid w:val="008D579E"/>
    <w:rsid w:val="00917E96"/>
    <w:rsid w:val="00921711"/>
    <w:rsid w:val="009243CA"/>
    <w:rsid w:val="009269FE"/>
    <w:rsid w:val="00933343"/>
    <w:rsid w:val="00946654"/>
    <w:rsid w:val="00967A7C"/>
    <w:rsid w:val="0099643E"/>
    <w:rsid w:val="009A33CF"/>
    <w:rsid w:val="009A6F7C"/>
    <w:rsid w:val="009B1AD3"/>
    <w:rsid w:val="009B3DA8"/>
    <w:rsid w:val="009B4685"/>
    <w:rsid w:val="009C25F4"/>
    <w:rsid w:val="009D330E"/>
    <w:rsid w:val="009D753F"/>
    <w:rsid w:val="009E1B68"/>
    <w:rsid w:val="009F1561"/>
    <w:rsid w:val="00A03E26"/>
    <w:rsid w:val="00A31EC9"/>
    <w:rsid w:val="00A5798A"/>
    <w:rsid w:val="00A8546F"/>
    <w:rsid w:val="00AA0FB8"/>
    <w:rsid w:val="00AA1A2C"/>
    <w:rsid w:val="00AC4F66"/>
    <w:rsid w:val="00AF47E3"/>
    <w:rsid w:val="00B178D7"/>
    <w:rsid w:val="00B17FF2"/>
    <w:rsid w:val="00B325AA"/>
    <w:rsid w:val="00B327C7"/>
    <w:rsid w:val="00B40C4F"/>
    <w:rsid w:val="00B41A93"/>
    <w:rsid w:val="00B81EB7"/>
    <w:rsid w:val="00BB3053"/>
    <w:rsid w:val="00BC5A9A"/>
    <w:rsid w:val="00BC72AF"/>
    <w:rsid w:val="00BE46C7"/>
    <w:rsid w:val="00C414B1"/>
    <w:rsid w:val="00C735AC"/>
    <w:rsid w:val="00CA0596"/>
    <w:rsid w:val="00CC5D36"/>
    <w:rsid w:val="00CD5079"/>
    <w:rsid w:val="00CD5605"/>
    <w:rsid w:val="00CD7FAD"/>
    <w:rsid w:val="00D2353D"/>
    <w:rsid w:val="00D51E0F"/>
    <w:rsid w:val="00D543E7"/>
    <w:rsid w:val="00D652BD"/>
    <w:rsid w:val="00D669B9"/>
    <w:rsid w:val="00DA140D"/>
    <w:rsid w:val="00DD0DEA"/>
    <w:rsid w:val="00DE283E"/>
    <w:rsid w:val="00E005A8"/>
    <w:rsid w:val="00E264A5"/>
    <w:rsid w:val="00E45E81"/>
    <w:rsid w:val="00E5788F"/>
    <w:rsid w:val="00E70943"/>
    <w:rsid w:val="00E844FF"/>
    <w:rsid w:val="00EC7F8B"/>
    <w:rsid w:val="00EE6BE4"/>
    <w:rsid w:val="00EE76F0"/>
    <w:rsid w:val="00EE7A60"/>
    <w:rsid w:val="00F14395"/>
    <w:rsid w:val="00F21C5D"/>
    <w:rsid w:val="00F67F8B"/>
    <w:rsid w:val="00F82ACD"/>
    <w:rsid w:val="00F83987"/>
    <w:rsid w:val="00F94E7D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2CF"/>
  <w15:chartTrackingRefBased/>
  <w15:docId w15:val="{64E11D3C-45DF-46B2-BEA5-592BB6B2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21C5D"/>
  </w:style>
  <w:style w:type="paragraph" w:styleId="a6">
    <w:name w:val="footer"/>
    <w:basedOn w:val="a"/>
    <w:link w:val="a7"/>
    <w:uiPriority w:val="99"/>
    <w:unhideWhenUsed/>
    <w:rsid w:val="00F21C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21C5D"/>
  </w:style>
  <w:style w:type="paragraph" w:customStyle="1" w:styleId="Default">
    <w:name w:val="Default"/>
    <w:rsid w:val="008D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7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D7FAD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basedOn w:val="a0"/>
    <w:link w:val="1"/>
    <w:rsid w:val="008D57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8D579E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34"/>
    <w:qFormat/>
    <w:rsid w:val="008D579E"/>
    <w:pPr>
      <w:ind w:left="720"/>
      <w:contextualSpacing/>
    </w:pPr>
  </w:style>
  <w:style w:type="character" w:styleId="ac">
    <w:name w:val="Hyperlink"/>
    <w:uiPriority w:val="99"/>
    <w:unhideWhenUsed/>
    <w:rsid w:val="0077773E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77773E"/>
    <w:rPr>
      <w:color w:val="605E5C"/>
      <w:shd w:val="clear" w:color="auto" w:fill="E1DFDD"/>
    </w:rPr>
  </w:style>
  <w:style w:type="character" w:customStyle="1" w:styleId="3">
    <w:name w:val="Заголовок №3_"/>
    <w:basedOn w:val="a0"/>
    <w:link w:val="30"/>
    <w:rsid w:val="00235E1B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0">
    <w:name w:val="Заголовок №3"/>
    <w:basedOn w:val="a"/>
    <w:link w:val="3"/>
    <w:rsid w:val="00235E1B"/>
    <w:pPr>
      <w:widowControl w:val="0"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Другое_"/>
    <w:basedOn w:val="a0"/>
    <w:link w:val="af"/>
    <w:rsid w:val="00FC709A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af">
    <w:name w:val="Другое"/>
    <w:basedOn w:val="a"/>
    <w:link w:val="ae"/>
    <w:rsid w:val="00FC709A"/>
    <w:pPr>
      <w:widowControl w:val="0"/>
      <w:shd w:val="clear" w:color="auto" w:fill="FFFFFF"/>
      <w:spacing w:after="0" w:line="312" w:lineRule="auto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ivcity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pr.kyivcit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F6E04-48B9-46AB-B9C3-A928DFB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Муляр Максим</dc:creator>
  <cp:keywords/>
  <dc:description/>
  <cp:lastModifiedBy>Аліса К. Шиндіна</cp:lastModifiedBy>
  <cp:revision>21</cp:revision>
  <cp:lastPrinted>2026-03-30T12:00:00Z</cp:lastPrinted>
  <dcterms:created xsi:type="dcterms:W3CDTF">2025-07-02T09:51:00Z</dcterms:created>
  <dcterms:modified xsi:type="dcterms:W3CDTF">2026-03-31T13:22:00Z</dcterms:modified>
</cp:coreProperties>
</file>