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18" w:rsidRPr="008072A7" w:rsidRDefault="00BB4C18" w:rsidP="00BB4C18">
      <w:pPr>
        <w:ind w:firstLine="708"/>
        <w:jc w:val="center"/>
        <w:rPr>
          <w:b/>
          <w:sz w:val="28"/>
          <w:szCs w:val="28"/>
        </w:rPr>
      </w:pPr>
      <w:r w:rsidRPr="008072A7">
        <w:rPr>
          <w:b/>
          <w:sz w:val="28"/>
          <w:szCs w:val="28"/>
        </w:rPr>
        <w:t xml:space="preserve">Результати роботи комунальних підприємств міста </w:t>
      </w:r>
    </w:p>
    <w:p w:rsidR="00BB4C18" w:rsidRPr="008072A7" w:rsidRDefault="00BB4C18" w:rsidP="00BB4C18">
      <w:pPr>
        <w:ind w:firstLine="708"/>
        <w:jc w:val="center"/>
        <w:rPr>
          <w:b/>
          <w:sz w:val="28"/>
          <w:szCs w:val="28"/>
        </w:rPr>
      </w:pPr>
      <w:r w:rsidRPr="008072A7">
        <w:rPr>
          <w:b/>
          <w:sz w:val="28"/>
          <w:szCs w:val="28"/>
        </w:rPr>
        <w:t>за 2018 р</w:t>
      </w:r>
      <w:r>
        <w:rPr>
          <w:b/>
          <w:sz w:val="28"/>
          <w:szCs w:val="28"/>
        </w:rPr>
        <w:t>ік</w:t>
      </w:r>
    </w:p>
    <w:p w:rsidR="00731AA9" w:rsidRPr="00312DE0" w:rsidRDefault="00731AA9" w:rsidP="00797CC0">
      <w:pPr>
        <w:rPr>
          <w:sz w:val="28"/>
          <w:szCs w:val="28"/>
        </w:rPr>
      </w:pPr>
    </w:p>
    <w:p w:rsidR="00BB4C18" w:rsidRPr="00320F9C" w:rsidRDefault="00BB4C18" w:rsidP="00BB4C18">
      <w:pPr>
        <w:ind w:firstLine="708"/>
        <w:jc w:val="both"/>
        <w:rPr>
          <w:color w:val="FF0000"/>
          <w:sz w:val="28"/>
          <w:szCs w:val="28"/>
        </w:rPr>
      </w:pPr>
      <w:r w:rsidRPr="00BB4C18">
        <w:rPr>
          <w:b/>
          <w:sz w:val="28"/>
          <w:szCs w:val="28"/>
        </w:rPr>
        <w:t>За уточненими даними реєстру комунальних підприємств територіальної громади міста Києва, загальна кількість юридичних осіб комунальної власності міста Києва станом на 1 січня 2019 року</w:t>
      </w:r>
      <w:r w:rsidRPr="00BB4C18">
        <w:rPr>
          <w:b/>
          <w:color w:val="FF0000"/>
          <w:sz w:val="28"/>
          <w:szCs w:val="28"/>
        </w:rPr>
        <w:t xml:space="preserve"> </w:t>
      </w:r>
      <w:r w:rsidRPr="00BB4C18">
        <w:rPr>
          <w:b/>
          <w:sz w:val="28"/>
          <w:szCs w:val="28"/>
        </w:rPr>
        <w:t>становила 1908</w:t>
      </w:r>
      <w:r w:rsidRPr="00320F9C">
        <w:rPr>
          <w:sz w:val="28"/>
          <w:szCs w:val="28"/>
        </w:rPr>
        <w:t xml:space="preserve"> (таблиця 1),</w:t>
      </w:r>
      <w:r w:rsidRPr="00320F9C">
        <w:rPr>
          <w:color w:val="FF0000"/>
          <w:sz w:val="28"/>
          <w:szCs w:val="28"/>
        </w:rPr>
        <w:t xml:space="preserve"> </w:t>
      </w:r>
      <w:r w:rsidRPr="00320F9C">
        <w:rPr>
          <w:sz w:val="28"/>
          <w:szCs w:val="28"/>
        </w:rPr>
        <w:t xml:space="preserve">на балансах яких обліковуються активи загальною вартістю 170,3 </w:t>
      </w:r>
      <w:proofErr w:type="spellStart"/>
      <w:r w:rsidRPr="00320F9C">
        <w:rPr>
          <w:sz w:val="28"/>
          <w:szCs w:val="28"/>
        </w:rPr>
        <w:t>млрд</w:t>
      </w:r>
      <w:proofErr w:type="spellEnd"/>
      <w:r w:rsidRPr="00320F9C">
        <w:rPr>
          <w:sz w:val="28"/>
          <w:szCs w:val="28"/>
        </w:rPr>
        <w:t xml:space="preserve"> грн.</w:t>
      </w:r>
      <w:r w:rsidRPr="00320F9C">
        <w:rPr>
          <w:color w:val="FF0000"/>
          <w:sz w:val="28"/>
          <w:szCs w:val="28"/>
        </w:rPr>
        <w:t xml:space="preserve"> </w:t>
      </w:r>
    </w:p>
    <w:p w:rsidR="00BB4C18" w:rsidRPr="00834F7B" w:rsidRDefault="00BB4C18" w:rsidP="00BB4C18">
      <w:pPr>
        <w:ind w:firstLine="708"/>
        <w:jc w:val="both"/>
        <w:rPr>
          <w:sz w:val="28"/>
          <w:szCs w:val="28"/>
        </w:rPr>
      </w:pPr>
      <w:r w:rsidRPr="00834F7B">
        <w:rPr>
          <w:sz w:val="28"/>
          <w:szCs w:val="28"/>
        </w:rPr>
        <w:t>Інформація про загальну вартість активів (валюту балансу), що відображена в балансах комунальних підприємств, установ та організацій, які надали фінансову звітність за 201</w:t>
      </w:r>
      <w:r>
        <w:rPr>
          <w:sz w:val="28"/>
          <w:szCs w:val="28"/>
        </w:rPr>
        <w:t>8</w:t>
      </w:r>
      <w:r w:rsidRPr="00834F7B">
        <w:rPr>
          <w:sz w:val="28"/>
          <w:szCs w:val="28"/>
        </w:rPr>
        <w:t xml:space="preserve"> рік, за органом управління та формою фінансування наведена в таблиці 2. </w:t>
      </w:r>
    </w:p>
    <w:p w:rsidR="00BB4C18" w:rsidRDefault="00BB4C18" w:rsidP="00BB4C18">
      <w:pPr>
        <w:jc w:val="right"/>
        <w:rPr>
          <w:sz w:val="28"/>
          <w:szCs w:val="28"/>
        </w:rPr>
      </w:pPr>
      <w:r w:rsidRPr="00834F7B">
        <w:rPr>
          <w:sz w:val="28"/>
          <w:szCs w:val="28"/>
        </w:rPr>
        <w:t>Таблиця 1</w:t>
      </w:r>
    </w:p>
    <w:p w:rsidR="00BB4C18" w:rsidRDefault="00BB4C18" w:rsidP="00BB4C18">
      <w:pPr>
        <w:jc w:val="center"/>
        <w:rPr>
          <w:b/>
          <w:sz w:val="28"/>
          <w:szCs w:val="28"/>
        </w:rPr>
      </w:pPr>
      <w:r w:rsidRPr="00834F7B">
        <w:rPr>
          <w:b/>
          <w:sz w:val="28"/>
          <w:szCs w:val="28"/>
        </w:rPr>
        <w:t xml:space="preserve">Загальна кількість комунальних підприємств, організацій та установ, інформація про які внесена до реєстру комунальних </w:t>
      </w:r>
    </w:p>
    <w:p w:rsidR="00BB4C18" w:rsidRDefault="00BB4C18" w:rsidP="00BB4C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34F7B">
        <w:rPr>
          <w:b/>
          <w:sz w:val="28"/>
          <w:szCs w:val="28"/>
        </w:rPr>
        <w:t>ідприємств</w:t>
      </w:r>
      <w:r>
        <w:rPr>
          <w:b/>
          <w:sz w:val="28"/>
          <w:szCs w:val="28"/>
        </w:rPr>
        <w:t xml:space="preserve"> територіальної громади міста Києва</w:t>
      </w:r>
      <w:r w:rsidRPr="00834F7B">
        <w:rPr>
          <w:b/>
          <w:sz w:val="28"/>
          <w:szCs w:val="28"/>
        </w:rPr>
        <w:t>,</w:t>
      </w:r>
    </w:p>
    <w:p w:rsidR="00BB4C18" w:rsidRPr="00834F7B" w:rsidRDefault="00BB4C18" w:rsidP="00BB4C18">
      <w:pPr>
        <w:jc w:val="center"/>
        <w:rPr>
          <w:b/>
          <w:sz w:val="28"/>
          <w:szCs w:val="28"/>
        </w:rPr>
      </w:pPr>
      <w:r w:rsidRPr="00834F7B">
        <w:rPr>
          <w:b/>
          <w:sz w:val="28"/>
          <w:szCs w:val="28"/>
        </w:rPr>
        <w:t xml:space="preserve"> станом на 01.01.2019</w:t>
      </w:r>
      <w:r>
        <w:rPr>
          <w:b/>
          <w:sz w:val="28"/>
          <w:szCs w:val="28"/>
        </w:rPr>
        <w:t xml:space="preserve"> року</w:t>
      </w:r>
    </w:p>
    <w:p w:rsidR="00BB4C18" w:rsidRPr="00834F7B" w:rsidRDefault="00BB4C18" w:rsidP="00BB4C18">
      <w:pPr>
        <w:jc w:val="right"/>
        <w:rPr>
          <w:sz w:val="28"/>
          <w:szCs w:val="28"/>
        </w:rPr>
      </w:pPr>
      <w:r w:rsidRPr="00834F7B">
        <w:rPr>
          <w:sz w:val="28"/>
          <w:szCs w:val="28"/>
        </w:rPr>
        <w:t>юридичних осіб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3018"/>
        <w:gridCol w:w="2707"/>
        <w:gridCol w:w="1595"/>
      </w:tblGrid>
      <w:tr w:rsidR="00BB4C18" w:rsidRPr="004A5B2C" w:rsidTr="00BB4C18">
        <w:trPr>
          <w:jc w:val="center"/>
        </w:trPr>
        <w:tc>
          <w:tcPr>
            <w:tcW w:w="2392" w:type="dxa"/>
            <w:vAlign w:val="center"/>
          </w:tcPr>
          <w:p w:rsidR="00BB4C18" w:rsidRPr="00690AD1" w:rsidRDefault="00BB4C18" w:rsidP="00BB4C18">
            <w:pPr>
              <w:jc w:val="center"/>
            </w:pPr>
            <w:r w:rsidRPr="00690AD1">
              <w:t>Метод управління (форма фінансування)</w:t>
            </w:r>
          </w:p>
        </w:tc>
        <w:tc>
          <w:tcPr>
            <w:tcW w:w="3018" w:type="dxa"/>
            <w:vAlign w:val="center"/>
          </w:tcPr>
          <w:p w:rsidR="00BB4C18" w:rsidRPr="00690AD1" w:rsidRDefault="00BB4C18" w:rsidP="00BB4C18">
            <w:pPr>
              <w:jc w:val="center"/>
            </w:pPr>
            <w:r w:rsidRPr="00690AD1">
              <w:t xml:space="preserve">У підпорядкуванні Київської міської ради, виконавчого органу Київської міської ради (Київської міської державної адміністрації) та його структурних підрозділів </w:t>
            </w:r>
          </w:p>
        </w:tc>
        <w:tc>
          <w:tcPr>
            <w:tcW w:w="2707" w:type="dxa"/>
            <w:vAlign w:val="center"/>
          </w:tcPr>
          <w:p w:rsidR="00BB4C18" w:rsidRPr="00690AD1" w:rsidRDefault="00BB4C18" w:rsidP="00BB4C18">
            <w:pPr>
              <w:jc w:val="center"/>
            </w:pPr>
            <w:r w:rsidRPr="00690AD1">
              <w:t>У сфері управління районних в місті Києві державних адміністрацій</w:t>
            </w:r>
          </w:p>
        </w:tc>
        <w:tc>
          <w:tcPr>
            <w:tcW w:w="1595" w:type="dxa"/>
            <w:vAlign w:val="center"/>
          </w:tcPr>
          <w:p w:rsidR="00BB4C18" w:rsidRPr="00690AD1" w:rsidRDefault="00BB4C18" w:rsidP="00BB4C18">
            <w:pPr>
              <w:jc w:val="center"/>
            </w:pPr>
            <w:r w:rsidRPr="00690AD1">
              <w:t>РАЗОМ</w:t>
            </w:r>
          </w:p>
        </w:tc>
      </w:tr>
      <w:tr w:rsidR="00BB4C18" w:rsidRPr="004A5B2C" w:rsidTr="00BB4C18">
        <w:trPr>
          <w:jc w:val="center"/>
        </w:trPr>
        <w:tc>
          <w:tcPr>
            <w:tcW w:w="2392" w:type="dxa"/>
          </w:tcPr>
          <w:p w:rsidR="00BB4C18" w:rsidRPr="00452913" w:rsidRDefault="00BB4C18" w:rsidP="00BB4C18">
            <w:pPr>
              <w:jc w:val="both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Госпрозрахункові</w:t>
            </w:r>
          </w:p>
        </w:tc>
        <w:tc>
          <w:tcPr>
            <w:tcW w:w="3018" w:type="dxa"/>
          </w:tcPr>
          <w:p w:rsidR="00BB4C18" w:rsidRPr="00834F7B" w:rsidRDefault="00BB4C18" w:rsidP="00BB4C18">
            <w:pPr>
              <w:jc w:val="center"/>
              <w:rPr>
                <w:sz w:val="28"/>
                <w:szCs w:val="28"/>
              </w:rPr>
            </w:pPr>
            <w:r w:rsidRPr="00834F7B">
              <w:rPr>
                <w:sz w:val="28"/>
                <w:szCs w:val="28"/>
              </w:rPr>
              <w:t>258</w:t>
            </w:r>
          </w:p>
        </w:tc>
        <w:tc>
          <w:tcPr>
            <w:tcW w:w="2707" w:type="dxa"/>
          </w:tcPr>
          <w:p w:rsidR="00BB4C18" w:rsidRPr="00834F7B" w:rsidRDefault="00BB4C18" w:rsidP="00BB4C18">
            <w:pPr>
              <w:jc w:val="center"/>
              <w:rPr>
                <w:sz w:val="28"/>
                <w:szCs w:val="28"/>
              </w:rPr>
            </w:pPr>
            <w:r w:rsidRPr="00834F7B">
              <w:rPr>
                <w:sz w:val="28"/>
                <w:szCs w:val="28"/>
              </w:rPr>
              <w:t>126</w:t>
            </w:r>
          </w:p>
        </w:tc>
        <w:tc>
          <w:tcPr>
            <w:tcW w:w="1595" w:type="dxa"/>
          </w:tcPr>
          <w:p w:rsidR="00BB4C18" w:rsidRPr="00834F7B" w:rsidRDefault="00BB4C18" w:rsidP="00BB4C18">
            <w:pPr>
              <w:jc w:val="center"/>
              <w:rPr>
                <w:sz w:val="28"/>
                <w:szCs w:val="28"/>
              </w:rPr>
            </w:pPr>
            <w:r w:rsidRPr="00834F7B">
              <w:rPr>
                <w:sz w:val="28"/>
                <w:szCs w:val="28"/>
              </w:rPr>
              <w:t>384</w:t>
            </w:r>
          </w:p>
        </w:tc>
      </w:tr>
      <w:tr w:rsidR="00BB4C18" w:rsidRPr="004A5B2C" w:rsidTr="00BB4C18">
        <w:trPr>
          <w:jc w:val="center"/>
        </w:trPr>
        <w:tc>
          <w:tcPr>
            <w:tcW w:w="2392" w:type="dxa"/>
          </w:tcPr>
          <w:p w:rsidR="00BB4C18" w:rsidRPr="00452913" w:rsidRDefault="00BB4C18" w:rsidP="00BB4C18">
            <w:pPr>
              <w:jc w:val="both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Бюджетні</w:t>
            </w:r>
          </w:p>
        </w:tc>
        <w:tc>
          <w:tcPr>
            <w:tcW w:w="3018" w:type="dxa"/>
          </w:tcPr>
          <w:p w:rsidR="00BB4C18" w:rsidRPr="00834F7B" w:rsidRDefault="00BB4C18" w:rsidP="00BB4C18">
            <w:pPr>
              <w:jc w:val="center"/>
              <w:rPr>
                <w:sz w:val="28"/>
                <w:szCs w:val="28"/>
              </w:rPr>
            </w:pPr>
            <w:r w:rsidRPr="00834F7B">
              <w:rPr>
                <w:sz w:val="28"/>
                <w:szCs w:val="28"/>
              </w:rPr>
              <w:t>237</w:t>
            </w:r>
          </w:p>
        </w:tc>
        <w:tc>
          <w:tcPr>
            <w:tcW w:w="2707" w:type="dxa"/>
          </w:tcPr>
          <w:p w:rsidR="00BB4C18" w:rsidRPr="00834F7B" w:rsidRDefault="00BB4C18" w:rsidP="00BB4C18">
            <w:pPr>
              <w:jc w:val="center"/>
              <w:rPr>
                <w:sz w:val="28"/>
                <w:szCs w:val="28"/>
              </w:rPr>
            </w:pPr>
            <w:r w:rsidRPr="00834F7B">
              <w:rPr>
                <w:sz w:val="28"/>
                <w:szCs w:val="28"/>
              </w:rPr>
              <w:t>1287</w:t>
            </w:r>
          </w:p>
        </w:tc>
        <w:tc>
          <w:tcPr>
            <w:tcW w:w="1595" w:type="dxa"/>
          </w:tcPr>
          <w:p w:rsidR="00BB4C18" w:rsidRPr="00834F7B" w:rsidRDefault="00BB4C18" w:rsidP="00BB4C18">
            <w:pPr>
              <w:jc w:val="center"/>
              <w:rPr>
                <w:sz w:val="28"/>
                <w:szCs w:val="28"/>
              </w:rPr>
            </w:pPr>
            <w:r w:rsidRPr="00834F7B">
              <w:rPr>
                <w:sz w:val="28"/>
                <w:szCs w:val="28"/>
              </w:rPr>
              <w:t>1524</w:t>
            </w:r>
          </w:p>
        </w:tc>
      </w:tr>
      <w:tr w:rsidR="00BB4C18" w:rsidRPr="00834F7B" w:rsidTr="00BB4C18">
        <w:trPr>
          <w:jc w:val="center"/>
        </w:trPr>
        <w:tc>
          <w:tcPr>
            <w:tcW w:w="2392" w:type="dxa"/>
          </w:tcPr>
          <w:p w:rsidR="00BB4C18" w:rsidRPr="00452913" w:rsidRDefault="00BB4C18" w:rsidP="00BB4C18">
            <w:pPr>
              <w:jc w:val="both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РАЗОМ</w:t>
            </w:r>
          </w:p>
        </w:tc>
        <w:tc>
          <w:tcPr>
            <w:tcW w:w="3018" w:type="dxa"/>
          </w:tcPr>
          <w:p w:rsidR="00BB4C18" w:rsidRPr="00834F7B" w:rsidRDefault="00BB4C18" w:rsidP="00BB4C18">
            <w:pPr>
              <w:jc w:val="center"/>
              <w:rPr>
                <w:sz w:val="28"/>
                <w:szCs w:val="28"/>
              </w:rPr>
            </w:pPr>
            <w:r w:rsidRPr="00834F7B">
              <w:rPr>
                <w:sz w:val="28"/>
                <w:szCs w:val="28"/>
              </w:rPr>
              <w:t>495</w:t>
            </w:r>
          </w:p>
        </w:tc>
        <w:tc>
          <w:tcPr>
            <w:tcW w:w="2707" w:type="dxa"/>
          </w:tcPr>
          <w:p w:rsidR="00BB4C18" w:rsidRPr="00834F7B" w:rsidRDefault="00BB4C18" w:rsidP="00BB4C18">
            <w:pPr>
              <w:jc w:val="center"/>
              <w:rPr>
                <w:sz w:val="28"/>
                <w:szCs w:val="28"/>
              </w:rPr>
            </w:pPr>
            <w:r w:rsidRPr="00834F7B">
              <w:rPr>
                <w:sz w:val="28"/>
                <w:szCs w:val="28"/>
              </w:rPr>
              <w:t>1413</w:t>
            </w:r>
          </w:p>
        </w:tc>
        <w:tc>
          <w:tcPr>
            <w:tcW w:w="1595" w:type="dxa"/>
          </w:tcPr>
          <w:p w:rsidR="00BB4C18" w:rsidRPr="00834F7B" w:rsidRDefault="00BB4C18" w:rsidP="00BB4C18">
            <w:pPr>
              <w:jc w:val="center"/>
              <w:rPr>
                <w:b/>
                <w:sz w:val="28"/>
                <w:szCs w:val="28"/>
              </w:rPr>
            </w:pPr>
            <w:r w:rsidRPr="00834F7B">
              <w:rPr>
                <w:b/>
                <w:sz w:val="28"/>
                <w:szCs w:val="28"/>
              </w:rPr>
              <w:t>1908</w:t>
            </w:r>
          </w:p>
        </w:tc>
      </w:tr>
    </w:tbl>
    <w:p w:rsidR="00690AD1" w:rsidRDefault="00690AD1" w:rsidP="00BB4C18">
      <w:pPr>
        <w:jc w:val="right"/>
        <w:rPr>
          <w:sz w:val="28"/>
          <w:szCs w:val="28"/>
        </w:rPr>
      </w:pPr>
    </w:p>
    <w:p w:rsidR="00BB4C18" w:rsidRPr="00834F7B" w:rsidRDefault="00BB4C18" w:rsidP="00BB4C18">
      <w:pPr>
        <w:jc w:val="right"/>
        <w:rPr>
          <w:sz w:val="28"/>
          <w:szCs w:val="28"/>
        </w:rPr>
      </w:pPr>
      <w:r w:rsidRPr="00834F7B">
        <w:rPr>
          <w:sz w:val="28"/>
          <w:szCs w:val="28"/>
        </w:rPr>
        <w:t>Таблиця 2</w:t>
      </w:r>
    </w:p>
    <w:p w:rsidR="00BB4C18" w:rsidRPr="00834F7B" w:rsidRDefault="00BB4C18" w:rsidP="00BB4C18">
      <w:pPr>
        <w:jc w:val="center"/>
        <w:rPr>
          <w:b/>
          <w:sz w:val="28"/>
          <w:szCs w:val="28"/>
        </w:rPr>
      </w:pPr>
      <w:r w:rsidRPr="00834F7B">
        <w:rPr>
          <w:b/>
          <w:sz w:val="28"/>
          <w:szCs w:val="28"/>
        </w:rPr>
        <w:t>Загальна вартість активів*, що відображена в балансах підприємств, організацій та установ комунальної власності</w:t>
      </w:r>
    </w:p>
    <w:p w:rsidR="00BB4C18" w:rsidRPr="00834F7B" w:rsidRDefault="00BB4C18" w:rsidP="00BB4C18">
      <w:pPr>
        <w:jc w:val="center"/>
        <w:rPr>
          <w:b/>
          <w:sz w:val="28"/>
          <w:szCs w:val="28"/>
        </w:rPr>
      </w:pPr>
      <w:r w:rsidRPr="00834F7B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іста</w:t>
      </w:r>
      <w:r w:rsidRPr="00834F7B">
        <w:rPr>
          <w:b/>
          <w:sz w:val="28"/>
          <w:szCs w:val="28"/>
        </w:rPr>
        <w:t xml:space="preserve"> Києва на останню звітну дату, станом на 01.01.2019</w:t>
      </w:r>
      <w:r>
        <w:rPr>
          <w:b/>
          <w:sz w:val="28"/>
          <w:szCs w:val="28"/>
        </w:rPr>
        <w:t xml:space="preserve"> року</w:t>
      </w:r>
    </w:p>
    <w:p w:rsidR="00BB4C18" w:rsidRPr="004A5B2C" w:rsidRDefault="00BB4C18" w:rsidP="00BB4C18">
      <w:pPr>
        <w:jc w:val="center"/>
        <w:rPr>
          <w:b/>
          <w:color w:val="FF0000"/>
          <w:sz w:val="28"/>
          <w:szCs w:val="28"/>
        </w:rPr>
      </w:pPr>
    </w:p>
    <w:p w:rsidR="00BB4C18" w:rsidRPr="006A4A77" w:rsidRDefault="00BB4C18" w:rsidP="00BB4C18">
      <w:pPr>
        <w:jc w:val="right"/>
        <w:rPr>
          <w:sz w:val="28"/>
          <w:szCs w:val="28"/>
          <w:lang w:val="ru-RU"/>
        </w:rPr>
      </w:pPr>
      <w:proofErr w:type="spellStart"/>
      <w:r w:rsidRPr="006A4A77">
        <w:rPr>
          <w:sz w:val="28"/>
          <w:szCs w:val="28"/>
        </w:rPr>
        <w:t>млрд</w:t>
      </w:r>
      <w:proofErr w:type="spellEnd"/>
      <w:r w:rsidRPr="006A4A77">
        <w:rPr>
          <w:sz w:val="28"/>
          <w:szCs w:val="28"/>
        </w:rPr>
        <w:t xml:space="preserve"> </w:t>
      </w:r>
      <w:proofErr w:type="spellStart"/>
      <w:r w:rsidRPr="006A4A77">
        <w:rPr>
          <w:sz w:val="28"/>
          <w:szCs w:val="28"/>
        </w:rPr>
        <w:t>грн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3348"/>
        <w:gridCol w:w="2393"/>
        <w:gridCol w:w="1578"/>
      </w:tblGrid>
      <w:tr w:rsidR="00BB4C18" w:rsidRPr="004A5B2C" w:rsidTr="00BB4C18">
        <w:trPr>
          <w:jc w:val="center"/>
        </w:trPr>
        <w:tc>
          <w:tcPr>
            <w:tcW w:w="2392" w:type="dxa"/>
            <w:vAlign w:val="center"/>
          </w:tcPr>
          <w:p w:rsidR="00BB4C18" w:rsidRPr="00690AD1" w:rsidRDefault="00BB4C18" w:rsidP="00BB4C18">
            <w:pPr>
              <w:jc w:val="center"/>
            </w:pPr>
            <w:r w:rsidRPr="00690AD1">
              <w:t>Метод управління (форма фінансування)</w:t>
            </w:r>
          </w:p>
        </w:tc>
        <w:tc>
          <w:tcPr>
            <w:tcW w:w="3348" w:type="dxa"/>
            <w:vAlign w:val="center"/>
          </w:tcPr>
          <w:p w:rsidR="00BB4C18" w:rsidRPr="00690AD1" w:rsidRDefault="00BB4C18" w:rsidP="00BB4C18">
            <w:pPr>
              <w:jc w:val="center"/>
            </w:pPr>
            <w:r w:rsidRPr="00690AD1">
              <w:t>У підпорядкуванні Київської міської ради, виконавчого органу Київської міської ради (Київської міської державної адміністрації) та його структурних підрозділів</w:t>
            </w:r>
          </w:p>
        </w:tc>
        <w:tc>
          <w:tcPr>
            <w:tcW w:w="2393" w:type="dxa"/>
            <w:vAlign w:val="center"/>
          </w:tcPr>
          <w:p w:rsidR="00BB4C18" w:rsidRPr="00690AD1" w:rsidRDefault="00BB4C18" w:rsidP="00BB4C18">
            <w:pPr>
              <w:jc w:val="center"/>
            </w:pPr>
            <w:r w:rsidRPr="00690AD1">
              <w:t>У сфері управління районних в місті Києві державних адміністрацій</w:t>
            </w:r>
          </w:p>
        </w:tc>
        <w:tc>
          <w:tcPr>
            <w:tcW w:w="1578" w:type="dxa"/>
            <w:vAlign w:val="center"/>
          </w:tcPr>
          <w:p w:rsidR="00BB4C18" w:rsidRPr="00690AD1" w:rsidRDefault="00BB4C18" w:rsidP="00BB4C18">
            <w:pPr>
              <w:jc w:val="center"/>
            </w:pPr>
            <w:r w:rsidRPr="00690AD1">
              <w:t>РАЗОМ</w:t>
            </w:r>
          </w:p>
        </w:tc>
      </w:tr>
      <w:tr w:rsidR="00BB4C18" w:rsidRPr="004A5B2C" w:rsidTr="00BB4C18">
        <w:trPr>
          <w:jc w:val="center"/>
        </w:trPr>
        <w:tc>
          <w:tcPr>
            <w:tcW w:w="2392" w:type="dxa"/>
          </w:tcPr>
          <w:p w:rsidR="00BB4C18" w:rsidRPr="00452913" w:rsidRDefault="00BB4C18" w:rsidP="00BB4C18">
            <w:pPr>
              <w:jc w:val="both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Госпрозрахункові</w:t>
            </w:r>
          </w:p>
        </w:tc>
        <w:tc>
          <w:tcPr>
            <w:tcW w:w="3348" w:type="dxa"/>
          </w:tcPr>
          <w:p w:rsidR="00BB4C18" w:rsidRPr="006A4A77" w:rsidRDefault="00BB4C18" w:rsidP="00BB4C18">
            <w:pPr>
              <w:jc w:val="center"/>
              <w:rPr>
                <w:sz w:val="28"/>
                <w:szCs w:val="28"/>
                <w:lang w:val="ru-RU"/>
              </w:rPr>
            </w:pPr>
            <w:r w:rsidRPr="006A4A77">
              <w:rPr>
                <w:sz w:val="28"/>
                <w:szCs w:val="28"/>
              </w:rPr>
              <w:t>111,1</w:t>
            </w:r>
          </w:p>
        </w:tc>
        <w:tc>
          <w:tcPr>
            <w:tcW w:w="2393" w:type="dxa"/>
          </w:tcPr>
          <w:p w:rsidR="00BB4C18" w:rsidRPr="006A4A77" w:rsidRDefault="00BB4C18" w:rsidP="00BB4C18">
            <w:pPr>
              <w:jc w:val="center"/>
              <w:rPr>
                <w:sz w:val="28"/>
                <w:szCs w:val="28"/>
                <w:lang w:val="ru-RU"/>
              </w:rPr>
            </w:pPr>
            <w:r w:rsidRPr="006A4A77">
              <w:rPr>
                <w:sz w:val="28"/>
                <w:szCs w:val="28"/>
                <w:lang w:val="ru-RU"/>
              </w:rPr>
              <w:t>32,8*</w:t>
            </w:r>
          </w:p>
        </w:tc>
        <w:tc>
          <w:tcPr>
            <w:tcW w:w="1578" w:type="dxa"/>
          </w:tcPr>
          <w:p w:rsidR="00BB4C18" w:rsidRPr="006A4A77" w:rsidRDefault="00BB4C18" w:rsidP="00BB4C18">
            <w:pPr>
              <w:jc w:val="center"/>
              <w:rPr>
                <w:sz w:val="28"/>
                <w:szCs w:val="28"/>
              </w:rPr>
            </w:pPr>
            <w:r w:rsidRPr="006A4A77">
              <w:rPr>
                <w:sz w:val="28"/>
                <w:szCs w:val="28"/>
              </w:rPr>
              <w:t>143,9*</w:t>
            </w:r>
          </w:p>
        </w:tc>
      </w:tr>
      <w:tr w:rsidR="00BB4C18" w:rsidRPr="004A5B2C" w:rsidTr="00BB4C18">
        <w:trPr>
          <w:jc w:val="center"/>
        </w:trPr>
        <w:tc>
          <w:tcPr>
            <w:tcW w:w="2392" w:type="dxa"/>
          </w:tcPr>
          <w:p w:rsidR="00BB4C18" w:rsidRPr="00452913" w:rsidRDefault="00BB4C18" w:rsidP="00BB4C18">
            <w:pPr>
              <w:jc w:val="both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Бюджетні</w:t>
            </w:r>
          </w:p>
        </w:tc>
        <w:tc>
          <w:tcPr>
            <w:tcW w:w="3348" w:type="dxa"/>
          </w:tcPr>
          <w:p w:rsidR="00BB4C18" w:rsidRPr="006A4A77" w:rsidRDefault="00BB4C18" w:rsidP="00BB4C18">
            <w:pPr>
              <w:jc w:val="center"/>
              <w:rPr>
                <w:sz w:val="28"/>
                <w:szCs w:val="28"/>
              </w:rPr>
            </w:pPr>
            <w:r w:rsidRPr="006A4A77">
              <w:rPr>
                <w:sz w:val="28"/>
                <w:szCs w:val="28"/>
              </w:rPr>
              <w:t>19,1</w:t>
            </w:r>
          </w:p>
        </w:tc>
        <w:tc>
          <w:tcPr>
            <w:tcW w:w="2393" w:type="dxa"/>
          </w:tcPr>
          <w:p w:rsidR="00BB4C18" w:rsidRPr="006A4A77" w:rsidRDefault="00BB4C18" w:rsidP="00BB4C18">
            <w:pPr>
              <w:jc w:val="center"/>
              <w:rPr>
                <w:sz w:val="28"/>
                <w:szCs w:val="28"/>
              </w:rPr>
            </w:pPr>
            <w:r w:rsidRPr="006A4A77">
              <w:rPr>
                <w:sz w:val="28"/>
                <w:szCs w:val="28"/>
              </w:rPr>
              <w:t>7,3</w:t>
            </w:r>
          </w:p>
        </w:tc>
        <w:tc>
          <w:tcPr>
            <w:tcW w:w="1578" w:type="dxa"/>
          </w:tcPr>
          <w:p w:rsidR="00BB4C18" w:rsidRPr="006A4A77" w:rsidRDefault="00BB4C18" w:rsidP="00BB4C18">
            <w:pPr>
              <w:jc w:val="center"/>
              <w:rPr>
                <w:sz w:val="28"/>
                <w:szCs w:val="28"/>
              </w:rPr>
            </w:pPr>
            <w:r w:rsidRPr="006A4A77">
              <w:rPr>
                <w:sz w:val="28"/>
                <w:szCs w:val="28"/>
              </w:rPr>
              <w:t>26,4</w:t>
            </w:r>
          </w:p>
        </w:tc>
      </w:tr>
      <w:tr w:rsidR="00BB4C18" w:rsidRPr="004A5B2C" w:rsidTr="00BB4C18">
        <w:trPr>
          <w:jc w:val="center"/>
        </w:trPr>
        <w:tc>
          <w:tcPr>
            <w:tcW w:w="2392" w:type="dxa"/>
            <w:tcBorders>
              <w:bottom w:val="single" w:sz="4" w:space="0" w:color="auto"/>
            </w:tcBorders>
          </w:tcPr>
          <w:p w:rsidR="00BB4C18" w:rsidRPr="00452913" w:rsidRDefault="00BB4C18" w:rsidP="00BB4C18">
            <w:pPr>
              <w:jc w:val="both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РАЗОМ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BB4C18" w:rsidRPr="006A4A77" w:rsidRDefault="00BB4C18" w:rsidP="00BB4C18">
            <w:pPr>
              <w:jc w:val="center"/>
              <w:rPr>
                <w:sz w:val="28"/>
                <w:szCs w:val="28"/>
                <w:lang w:val="ru-RU"/>
              </w:rPr>
            </w:pPr>
            <w:r w:rsidRPr="006A4A77">
              <w:rPr>
                <w:sz w:val="28"/>
                <w:szCs w:val="28"/>
              </w:rPr>
              <w:t>130,2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B4C18" w:rsidRPr="006A4A77" w:rsidRDefault="00BB4C18" w:rsidP="00BB4C18">
            <w:pPr>
              <w:jc w:val="center"/>
              <w:rPr>
                <w:sz w:val="28"/>
                <w:szCs w:val="28"/>
                <w:lang w:val="ru-RU"/>
              </w:rPr>
            </w:pPr>
            <w:r w:rsidRPr="006A4A77">
              <w:rPr>
                <w:sz w:val="28"/>
                <w:szCs w:val="28"/>
              </w:rPr>
              <w:t>40,1</w:t>
            </w:r>
            <w:r w:rsidRPr="006A4A77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BB4C18" w:rsidRPr="006A4A77" w:rsidRDefault="00BB4C18" w:rsidP="00BB4C1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A4A77">
              <w:rPr>
                <w:b/>
                <w:sz w:val="28"/>
                <w:szCs w:val="28"/>
                <w:lang w:val="ru-RU"/>
              </w:rPr>
              <w:t>170,3*</w:t>
            </w:r>
          </w:p>
        </w:tc>
      </w:tr>
    </w:tbl>
    <w:p w:rsidR="00BB4C18" w:rsidRPr="00320B30" w:rsidRDefault="00BB4C18" w:rsidP="00BB4C18">
      <w:pPr>
        <w:jc w:val="both"/>
        <w:rPr>
          <w:sz w:val="20"/>
          <w:szCs w:val="20"/>
          <w:lang w:val="ru-RU"/>
        </w:rPr>
      </w:pPr>
      <w:r w:rsidRPr="00320B30">
        <w:rPr>
          <w:sz w:val="20"/>
          <w:szCs w:val="20"/>
        </w:rPr>
        <w:t xml:space="preserve">*разом з приватизованим житловим фондом, що перебуває на обслуговуванні підприємств </w:t>
      </w:r>
      <w:r>
        <w:rPr>
          <w:sz w:val="20"/>
          <w:szCs w:val="20"/>
        </w:rPr>
        <w:t>житлово-комунального господарства</w:t>
      </w:r>
      <w:r w:rsidRPr="00320B30">
        <w:rPr>
          <w:sz w:val="20"/>
          <w:szCs w:val="20"/>
        </w:rPr>
        <w:t xml:space="preserve"> та відображений у їх балансах </w:t>
      </w:r>
      <w:r w:rsidRPr="00320B30">
        <w:rPr>
          <w:sz w:val="20"/>
          <w:szCs w:val="20"/>
          <w:lang w:val="ru-RU"/>
        </w:rPr>
        <w:t xml:space="preserve">– </w:t>
      </w:r>
      <w:r w:rsidRPr="00320B30">
        <w:rPr>
          <w:b/>
          <w:sz w:val="20"/>
          <w:szCs w:val="20"/>
          <w:lang w:val="ru-RU"/>
        </w:rPr>
        <w:t xml:space="preserve">23,8 млрд </w:t>
      </w:r>
      <w:proofErr w:type="spellStart"/>
      <w:r w:rsidRPr="00320B30">
        <w:rPr>
          <w:b/>
          <w:sz w:val="20"/>
          <w:szCs w:val="20"/>
          <w:lang w:val="ru-RU"/>
        </w:rPr>
        <w:t>грн</w:t>
      </w:r>
      <w:proofErr w:type="spellEnd"/>
      <w:r w:rsidRPr="00320B30">
        <w:rPr>
          <w:sz w:val="20"/>
          <w:szCs w:val="20"/>
          <w:lang w:val="ru-RU"/>
        </w:rPr>
        <w:t xml:space="preserve">   </w:t>
      </w:r>
    </w:p>
    <w:p w:rsidR="00BB4C18" w:rsidRPr="004A5B2C" w:rsidRDefault="00BB4C18" w:rsidP="00BB4C18">
      <w:pPr>
        <w:jc w:val="both"/>
        <w:rPr>
          <w:color w:val="FF0000"/>
          <w:sz w:val="28"/>
          <w:szCs w:val="28"/>
          <w:lang w:val="ru-RU"/>
        </w:rPr>
      </w:pPr>
    </w:p>
    <w:p w:rsidR="00BB4C18" w:rsidRPr="004A5B2C" w:rsidRDefault="00BB4C18" w:rsidP="00BB4C18">
      <w:pPr>
        <w:ind w:firstLine="851"/>
        <w:jc w:val="both"/>
        <w:rPr>
          <w:color w:val="FF0000"/>
          <w:sz w:val="28"/>
          <w:szCs w:val="28"/>
        </w:rPr>
      </w:pPr>
      <w:r w:rsidRPr="00320B30">
        <w:rPr>
          <w:sz w:val="28"/>
          <w:szCs w:val="28"/>
        </w:rPr>
        <w:t>Як випливає з таблиці 1, із загальної кількості госпрозрахункових суб’єктів (384)</w:t>
      </w:r>
      <w:r w:rsidRPr="00320B30">
        <w:rPr>
          <w:b/>
          <w:sz w:val="28"/>
          <w:szCs w:val="28"/>
        </w:rPr>
        <w:t xml:space="preserve"> </w:t>
      </w:r>
      <w:r w:rsidRPr="00BB4C18">
        <w:rPr>
          <w:b/>
          <w:sz w:val="28"/>
          <w:szCs w:val="28"/>
        </w:rPr>
        <w:t>в підпорядкуванні Київської міської ради та структурних підрозділів виконавчого органу Київської міської ради (Київської міської державної адміністрації), станом на 01.01.2019 року, перебувало</w:t>
      </w:r>
      <w:r w:rsidRPr="00BB4C18">
        <w:rPr>
          <w:b/>
          <w:color w:val="FF0000"/>
          <w:sz w:val="28"/>
          <w:szCs w:val="28"/>
        </w:rPr>
        <w:t xml:space="preserve"> </w:t>
      </w:r>
      <w:r w:rsidRPr="00BB4C18">
        <w:rPr>
          <w:b/>
          <w:sz w:val="28"/>
          <w:szCs w:val="28"/>
        </w:rPr>
        <w:t>258</w:t>
      </w:r>
      <w:r w:rsidRPr="006F0801">
        <w:rPr>
          <w:sz w:val="28"/>
          <w:szCs w:val="28"/>
        </w:rPr>
        <w:t xml:space="preserve"> </w:t>
      </w:r>
      <w:r w:rsidRPr="00BB4C18">
        <w:rPr>
          <w:b/>
          <w:sz w:val="28"/>
          <w:szCs w:val="28"/>
        </w:rPr>
        <w:t>підприємств, установ та організацій</w:t>
      </w:r>
      <w:r w:rsidRPr="006F0801">
        <w:rPr>
          <w:sz w:val="28"/>
          <w:szCs w:val="28"/>
        </w:rPr>
        <w:t>,</w:t>
      </w:r>
      <w:r w:rsidRPr="006F0801">
        <w:rPr>
          <w:color w:val="FF0000"/>
          <w:sz w:val="28"/>
          <w:szCs w:val="28"/>
        </w:rPr>
        <w:t xml:space="preserve"> </w:t>
      </w:r>
      <w:r w:rsidRPr="006F0801">
        <w:rPr>
          <w:sz w:val="28"/>
          <w:szCs w:val="28"/>
        </w:rPr>
        <w:t xml:space="preserve">середня кількість працівників </w:t>
      </w:r>
      <w:r>
        <w:rPr>
          <w:sz w:val="28"/>
          <w:szCs w:val="28"/>
        </w:rPr>
        <w:t>у</w:t>
      </w:r>
      <w:r w:rsidRPr="006F0801">
        <w:rPr>
          <w:sz w:val="28"/>
          <w:szCs w:val="28"/>
        </w:rPr>
        <w:t xml:space="preserve"> груд</w:t>
      </w:r>
      <w:r>
        <w:rPr>
          <w:sz w:val="28"/>
          <w:szCs w:val="28"/>
        </w:rPr>
        <w:t xml:space="preserve">ні               </w:t>
      </w:r>
      <w:r w:rsidRPr="006F0801">
        <w:rPr>
          <w:sz w:val="28"/>
          <w:szCs w:val="28"/>
        </w:rPr>
        <w:t xml:space="preserve"> 2018 року становила 42,2 тис. осіб.</w:t>
      </w:r>
      <w:r w:rsidRPr="004A5B2C">
        <w:rPr>
          <w:color w:val="FF0000"/>
          <w:sz w:val="28"/>
          <w:szCs w:val="28"/>
        </w:rPr>
        <w:t xml:space="preserve"> </w:t>
      </w:r>
      <w:r w:rsidRPr="003B7756">
        <w:rPr>
          <w:sz w:val="28"/>
          <w:szCs w:val="28"/>
        </w:rPr>
        <w:t xml:space="preserve">За вказаний період зазначені 258 </w:t>
      </w:r>
      <w:r>
        <w:rPr>
          <w:sz w:val="28"/>
          <w:szCs w:val="28"/>
        </w:rPr>
        <w:t>підприємств, установ та організацій</w:t>
      </w:r>
      <w:r w:rsidRPr="003B7756">
        <w:rPr>
          <w:sz w:val="28"/>
          <w:szCs w:val="28"/>
        </w:rPr>
        <w:t xml:space="preserve"> </w:t>
      </w:r>
      <w:r w:rsidRPr="006F0801">
        <w:rPr>
          <w:sz w:val="28"/>
          <w:szCs w:val="28"/>
        </w:rPr>
        <w:t>отримали сукупних доходів</w:t>
      </w:r>
      <w:r w:rsidRPr="007553AE">
        <w:rPr>
          <w:sz w:val="28"/>
          <w:szCs w:val="28"/>
        </w:rPr>
        <w:t xml:space="preserve"> (без ПДВ) на суму</w:t>
      </w:r>
      <w:r w:rsidRPr="004A5B2C">
        <w:rPr>
          <w:color w:val="FF0000"/>
          <w:sz w:val="28"/>
          <w:szCs w:val="28"/>
        </w:rPr>
        <w:t xml:space="preserve"> </w:t>
      </w:r>
      <w:r w:rsidRPr="007553AE">
        <w:rPr>
          <w:sz w:val="28"/>
          <w:szCs w:val="28"/>
        </w:rPr>
        <w:t xml:space="preserve">20,9 </w:t>
      </w:r>
      <w:proofErr w:type="spellStart"/>
      <w:r w:rsidRPr="007553AE">
        <w:rPr>
          <w:sz w:val="28"/>
          <w:szCs w:val="28"/>
        </w:rPr>
        <w:t>млрд</w:t>
      </w:r>
      <w:proofErr w:type="spellEnd"/>
      <w:r w:rsidRPr="007553AE">
        <w:rPr>
          <w:sz w:val="28"/>
          <w:szCs w:val="28"/>
        </w:rPr>
        <w:t xml:space="preserve"> </w:t>
      </w:r>
      <w:proofErr w:type="spellStart"/>
      <w:r w:rsidRPr="007553AE">
        <w:rPr>
          <w:sz w:val="28"/>
          <w:szCs w:val="28"/>
        </w:rPr>
        <w:t>грн</w:t>
      </w:r>
      <w:proofErr w:type="spellEnd"/>
      <w:r w:rsidRPr="007553AE">
        <w:rPr>
          <w:sz w:val="28"/>
          <w:szCs w:val="28"/>
        </w:rPr>
        <w:t>, що на 64,0 % більше, ніж було отримано ними у 2017 році</w:t>
      </w:r>
      <w:r w:rsidRPr="006F0801">
        <w:rPr>
          <w:sz w:val="28"/>
          <w:szCs w:val="28"/>
        </w:rPr>
        <w:t xml:space="preserve">. </w:t>
      </w:r>
      <w:r w:rsidRPr="007553AE">
        <w:rPr>
          <w:sz w:val="28"/>
          <w:szCs w:val="28"/>
        </w:rPr>
        <w:t xml:space="preserve">В загальному обсязі доходів у 2018 році чистий дохід (виручка) від реалізації продукції (товарів, робіт, послуг) становив 14,7 </w:t>
      </w:r>
      <w:proofErr w:type="spellStart"/>
      <w:r w:rsidRPr="007553AE">
        <w:rPr>
          <w:sz w:val="28"/>
          <w:szCs w:val="28"/>
        </w:rPr>
        <w:t>млрд</w:t>
      </w:r>
      <w:proofErr w:type="spellEnd"/>
      <w:r w:rsidRPr="007553AE">
        <w:rPr>
          <w:sz w:val="28"/>
          <w:szCs w:val="28"/>
        </w:rPr>
        <w:t xml:space="preserve"> </w:t>
      </w:r>
      <w:proofErr w:type="spellStart"/>
      <w:r w:rsidRPr="007553AE">
        <w:rPr>
          <w:sz w:val="28"/>
          <w:szCs w:val="28"/>
        </w:rPr>
        <w:t>грн</w:t>
      </w:r>
      <w:proofErr w:type="spellEnd"/>
      <w:r w:rsidRPr="007553AE">
        <w:rPr>
          <w:sz w:val="28"/>
          <w:szCs w:val="28"/>
        </w:rPr>
        <w:t xml:space="preserve">, або 70,2 % </w:t>
      </w:r>
      <w:r>
        <w:rPr>
          <w:sz w:val="28"/>
          <w:szCs w:val="28"/>
        </w:rPr>
        <w:t xml:space="preserve">                   </w:t>
      </w:r>
      <w:r w:rsidRPr="007553AE">
        <w:rPr>
          <w:sz w:val="28"/>
          <w:szCs w:val="28"/>
        </w:rPr>
        <w:t xml:space="preserve">(у 2017 році питома вага чистого доходу (виручки)  від реалізації в сукупному доході становила  60,2 %). </w:t>
      </w:r>
    </w:p>
    <w:p w:rsidR="00BB4C18" w:rsidRPr="004A5B2C" w:rsidRDefault="00BB4C18" w:rsidP="00BB4C18">
      <w:pPr>
        <w:ind w:firstLine="851"/>
        <w:jc w:val="both"/>
        <w:rPr>
          <w:color w:val="FF0000"/>
          <w:sz w:val="28"/>
          <w:szCs w:val="28"/>
        </w:rPr>
      </w:pPr>
      <w:r w:rsidRPr="00FD4491">
        <w:rPr>
          <w:sz w:val="28"/>
          <w:szCs w:val="28"/>
        </w:rPr>
        <w:t>Загальна сума чистого прибутку цих підприємств</w:t>
      </w:r>
      <w:r>
        <w:rPr>
          <w:sz w:val="28"/>
          <w:szCs w:val="28"/>
        </w:rPr>
        <w:t>, установ та організацій</w:t>
      </w:r>
      <w:r w:rsidRPr="00FD4491">
        <w:rPr>
          <w:sz w:val="28"/>
          <w:szCs w:val="28"/>
        </w:rPr>
        <w:t xml:space="preserve"> у 2018 році</w:t>
      </w:r>
      <w:r w:rsidRPr="00FD4491">
        <w:rPr>
          <w:b/>
          <w:sz w:val="28"/>
          <w:szCs w:val="28"/>
        </w:rPr>
        <w:t xml:space="preserve"> </w:t>
      </w:r>
      <w:r w:rsidRPr="00FD4491">
        <w:rPr>
          <w:sz w:val="28"/>
          <w:szCs w:val="28"/>
        </w:rPr>
        <w:t xml:space="preserve">склала 255,4 </w:t>
      </w:r>
      <w:proofErr w:type="spellStart"/>
      <w:r w:rsidRPr="00FD4491">
        <w:rPr>
          <w:sz w:val="28"/>
          <w:szCs w:val="28"/>
        </w:rPr>
        <w:t>млн</w:t>
      </w:r>
      <w:proofErr w:type="spellEnd"/>
      <w:r w:rsidRPr="00FD4491">
        <w:rPr>
          <w:sz w:val="28"/>
          <w:szCs w:val="28"/>
        </w:rPr>
        <w:t xml:space="preserve"> </w:t>
      </w:r>
      <w:proofErr w:type="spellStart"/>
      <w:r w:rsidRPr="00FD4491">
        <w:rPr>
          <w:sz w:val="28"/>
          <w:szCs w:val="28"/>
        </w:rPr>
        <w:t>грн</w:t>
      </w:r>
      <w:proofErr w:type="spellEnd"/>
      <w:r w:rsidRPr="00FD4491">
        <w:rPr>
          <w:sz w:val="28"/>
          <w:szCs w:val="28"/>
        </w:rPr>
        <w:t xml:space="preserve"> (кількість прибуткових підприємств – 104 (додаток 1)</w:t>
      </w:r>
      <w:r>
        <w:rPr>
          <w:sz w:val="28"/>
          <w:szCs w:val="28"/>
        </w:rPr>
        <w:t>)</w:t>
      </w:r>
      <w:r w:rsidRPr="00FD4491">
        <w:rPr>
          <w:sz w:val="28"/>
          <w:szCs w:val="28"/>
        </w:rPr>
        <w:t xml:space="preserve">, загальні збитки – 1 193,0 </w:t>
      </w:r>
      <w:proofErr w:type="spellStart"/>
      <w:r w:rsidRPr="00FD4491">
        <w:rPr>
          <w:sz w:val="28"/>
          <w:szCs w:val="28"/>
        </w:rPr>
        <w:t>млн</w:t>
      </w:r>
      <w:proofErr w:type="spellEnd"/>
      <w:r w:rsidRPr="00FD4491">
        <w:rPr>
          <w:sz w:val="28"/>
          <w:szCs w:val="28"/>
        </w:rPr>
        <w:t xml:space="preserve"> </w:t>
      </w:r>
      <w:proofErr w:type="spellStart"/>
      <w:r w:rsidRPr="00FD4491">
        <w:rPr>
          <w:sz w:val="28"/>
          <w:szCs w:val="28"/>
        </w:rPr>
        <w:t>грн</w:t>
      </w:r>
      <w:proofErr w:type="spellEnd"/>
      <w:r w:rsidRPr="00FD4491">
        <w:rPr>
          <w:sz w:val="28"/>
          <w:szCs w:val="28"/>
        </w:rPr>
        <w:t xml:space="preserve">  (у 2017 році чистий прибуток цих </w:t>
      </w:r>
      <w:r>
        <w:rPr>
          <w:sz w:val="28"/>
          <w:szCs w:val="28"/>
        </w:rPr>
        <w:t>підприємств та організацій</w:t>
      </w:r>
      <w:r w:rsidRPr="00FD4491">
        <w:rPr>
          <w:sz w:val="28"/>
          <w:szCs w:val="28"/>
        </w:rPr>
        <w:t xml:space="preserve"> становив 451,1 </w:t>
      </w:r>
      <w:proofErr w:type="spellStart"/>
      <w:r w:rsidRPr="00FD4491">
        <w:rPr>
          <w:sz w:val="28"/>
          <w:szCs w:val="28"/>
        </w:rPr>
        <w:t>млн</w:t>
      </w:r>
      <w:proofErr w:type="spellEnd"/>
      <w:r w:rsidRPr="00FD4491">
        <w:rPr>
          <w:sz w:val="28"/>
          <w:szCs w:val="28"/>
        </w:rPr>
        <w:t xml:space="preserve"> </w:t>
      </w:r>
      <w:proofErr w:type="spellStart"/>
      <w:r w:rsidRPr="00FD4491">
        <w:rPr>
          <w:sz w:val="28"/>
          <w:szCs w:val="28"/>
        </w:rPr>
        <w:t>грн</w:t>
      </w:r>
      <w:proofErr w:type="spellEnd"/>
      <w:r w:rsidRPr="00FD4491">
        <w:rPr>
          <w:sz w:val="28"/>
          <w:szCs w:val="28"/>
        </w:rPr>
        <w:t xml:space="preserve">, збитки – </w:t>
      </w:r>
      <w:r>
        <w:rPr>
          <w:sz w:val="28"/>
          <w:szCs w:val="28"/>
        </w:rPr>
        <w:t xml:space="preserve">                       </w:t>
      </w:r>
      <w:r w:rsidRPr="00FD4491">
        <w:rPr>
          <w:sz w:val="28"/>
          <w:szCs w:val="28"/>
        </w:rPr>
        <w:t xml:space="preserve">1509,4 </w:t>
      </w:r>
      <w:proofErr w:type="spellStart"/>
      <w:r w:rsidRPr="00FD4491">
        <w:rPr>
          <w:sz w:val="28"/>
          <w:szCs w:val="28"/>
        </w:rPr>
        <w:t>млн</w:t>
      </w:r>
      <w:proofErr w:type="spellEnd"/>
      <w:r w:rsidRPr="00FD4491">
        <w:rPr>
          <w:sz w:val="28"/>
          <w:szCs w:val="28"/>
        </w:rPr>
        <w:t xml:space="preserve"> </w:t>
      </w:r>
      <w:proofErr w:type="spellStart"/>
      <w:r w:rsidRPr="00FD4491">
        <w:rPr>
          <w:sz w:val="28"/>
          <w:szCs w:val="28"/>
        </w:rPr>
        <w:t>грн</w:t>
      </w:r>
      <w:proofErr w:type="spellEnd"/>
      <w:r w:rsidRPr="00FD4491">
        <w:rPr>
          <w:sz w:val="28"/>
          <w:szCs w:val="28"/>
        </w:rPr>
        <w:t>) (таблиця 3).</w:t>
      </w:r>
    </w:p>
    <w:p w:rsidR="00BB4C18" w:rsidRDefault="00BB4C18" w:rsidP="00BB4C18">
      <w:pPr>
        <w:ind w:firstLine="851"/>
        <w:jc w:val="right"/>
        <w:rPr>
          <w:sz w:val="28"/>
          <w:szCs w:val="28"/>
        </w:rPr>
      </w:pPr>
      <w:r w:rsidRPr="003B7756">
        <w:rPr>
          <w:sz w:val="28"/>
          <w:szCs w:val="28"/>
        </w:rPr>
        <w:t>Таблиця 3</w:t>
      </w:r>
    </w:p>
    <w:p w:rsidR="00953F9A" w:rsidRPr="003B7756" w:rsidRDefault="00953F9A" w:rsidP="00BB4C18">
      <w:pPr>
        <w:ind w:firstLine="851"/>
        <w:jc w:val="right"/>
        <w:rPr>
          <w:sz w:val="28"/>
          <w:szCs w:val="28"/>
        </w:rPr>
      </w:pPr>
    </w:p>
    <w:p w:rsidR="00BB4C18" w:rsidRPr="003B7756" w:rsidRDefault="00BB4C18" w:rsidP="00BB4C18">
      <w:pPr>
        <w:ind w:firstLine="851"/>
        <w:jc w:val="center"/>
        <w:rPr>
          <w:b/>
          <w:sz w:val="28"/>
          <w:szCs w:val="28"/>
        </w:rPr>
      </w:pPr>
      <w:r w:rsidRPr="003B7756">
        <w:rPr>
          <w:b/>
          <w:sz w:val="28"/>
          <w:szCs w:val="28"/>
        </w:rPr>
        <w:t>Зведені показники фінансово-господарської діяльності</w:t>
      </w:r>
    </w:p>
    <w:p w:rsidR="00BB4C18" w:rsidRPr="003B7756" w:rsidRDefault="00BB4C18" w:rsidP="00BB4C18">
      <w:pPr>
        <w:ind w:firstLine="851"/>
        <w:jc w:val="center"/>
        <w:rPr>
          <w:b/>
          <w:sz w:val="28"/>
          <w:szCs w:val="28"/>
        </w:rPr>
      </w:pPr>
      <w:r w:rsidRPr="003B7756">
        <w:rPr>
          <w:b/>
          <w:sz w:val="28"/>
          <w:szCs w:val="28"/>
        </w:rPr>
        <w:t>підприємств комунальної власності</w:t>
      </w:r>
    </w:p>
    <w:p w:rsidR="00BB4C18" w:rsidRPr="003B7756" w:rsidRDefault="00BB4C18" w:rsidP="00BB4C18">
      <w:pPr>
        <w:ind w:firstLine="851"/>
        <w:jc w:val="center"/>
        <w:rPr>
          <w:b/>
          <w:sz w:val="28"/>
          <w:szCs w:val="28"/>
        </w:rPr>
      </w:pPr>
    </w:p>
    <w:p w:rsidR="00BB4C18" w:rsidRPr="003B7756" w:rsidRDefault="00BB4C18" w:rsidP="00BB4C18">
      <w:pPr>
        <w:ind w:firstLine="851"/>
        <w:jc w:val="right"/>
        <w:rPr>
          <w:sz w:val="28"/>
          <w:szCs w:val="28"/>
          <w:lang w:val="ru-RU"/>
        </w:rPr>
      </w:pPr>
      <w:proofErr w:type="spellStart"/>
      <w:r w:rsidRPr="003B7756">
        <w:rPr>
          <w:sz w:val="28"/>
          <w:szCs w:val="28"/>
        </w:rPr>
        <w:t>млн</w:t>
      </w:r>
      <w:proofErr w:type="spellEnd"/>
      <w:r w:rsidRPr="003B7756">
        <w:rPr>
          <w:sz w:val="28"/>
          <w:szCs w:val="28"/>
        </w:rPr>
        <w:t xml:space="preserve"> </w:t>
      </w:r>
      <w:proofErr w:type="spellStart"/>
      <w:r w:rsidRPr="003B7756">
        <w:rPr>
          <w:sz w:val="28"/>
          <w:szCs w:val="28"/>
        </w:rPr>
        <w:t>грн</w:t>
      </w:r>
      <w:proofErr w:type="spellEnd"/>
    </w:p>
    <w:tbl>
      <w:tblPr>
        <w:tblW w:w="97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851"/>
        <w:gridCol w:w="993"/>
        <w:gridCol w:w="850"/>
        <w:gridCol w:w="850"/>
        <w:gridCol w:w="850"/>
        <w:gridCol w:w="850"/>
        <w:gridCol w:w="992"/>
        <w:gridCol w:w="992"/>
        <w:gridCol w:w="994"/>
      </w:tblGrid>
      <w:tr w:rsidR="00BB4C18" w:rsidRPr="003B7756" w:rsidTr="00BB4C18">
        <w:trPr>
          <w:trHeight w:val="6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C18" w:rsidRPr="003B7756" w:rsidRDefault="00BB4C18" w:rsidP="00BB4C18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3B7756">
              <w:rPr>
                <w:b/>
                <w:sz w:val="22"/>
                <w:szCs w:val="22"/>
              </w:rPr>
              <w:t>Показники фінансово-господарської діяльності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200BBD" w:rsidRDefault="00BB4C18" w:rsidP="00BB4C18">
            <w:pPr>
              <w:jc w:val="center"/>
              <w:rPr>
                <w:b/>
                <w:sz w:val="22"/>
                <w:szCs w:val="22"/>
              </w:rPr>
            </w:pPr>
            <w:r w:rsidRPr="00200BBD">
              <w:rPr>
                <w:b/>
                <w:sz w:val="22"/>
                <w:szCs w:val="22"/>
              </w:rPr>
              <w:t>У підпорядкуванні Київської міської ради, виконавчого органу Київської міської ради (Київськ</w:t>
            </w:r>
            <w:r>
              <w:rPr>
                <w:b/>
                <w:sz w:val="22"/>
                <w:szCs w:val="22"/>
              </w:rPr>
              <w:t>ої</w:t>
            </w:r>
            <w:r w:rsidRPr="00200BBD">
              <w:rPr>
                <w:b/>
                <w:sz w:val="22"/>
                <w:szCs w:val="22"/>
              </w:rPr>
              <w:t xml:space="preserve"> міськ</w:t>
            </w:r>
            <w:r>
              <w:rPr>
                <w:b/>
                <w:sz w:val="22"/>
                <w:szCs w:val="22"/>
              </w:rPr>
              <w:t>ої</w:t>
            </w:r>
            <w:r w:rsidRPr="00200BBD">
              <w:rPr>
                <w:b/>
                <w:sz w:val="22"/>
                <w:szCs w:val="22"/>
              </w:rPr>
              <w:t xml:space="preserve"> державн</w:t>
            </w:r>
            <w:r>
              <w:rPr>
                <w:b/>
                <w:sz w:val="22"/>
                <w:szCs w:val="22"/>
              </w:rPr>
              <w:t>ої</w:t>
            </w:r>
            <w:r w:rsidRPr="00200BBD">
              <w:rPr>
                <w:b/>
                <w:sz w:val="22"/>
                <w:szCs w:val="22"/>
              </w:rPr>
              <w:t xml:space="preserve"> адміністрації) та його структурни</w:t>
            </w:r>
            <w:r>
              <w:rPr>
                <w:b/>
                <w:sz w:val="22"/>
                <w:szCs w:val="22"/>
              </w:rPr>
              <w:t>х</w:t>
            </w:r>
            <w:r w:rsidRPr="00200BBD">
              <w:rPr>
                <w:b/>
                <w:sz w:val="22"/>
                <w:szCs w:val="22"/>
              </w:rPr>
              <w:t xml:space="preserve"> підрозділ</w:t>
            </w:r>
            <w:r>
              <w:rPr>
                <w:b/>
                <w:sz w:val="22"/>
                <w:szCs w:val="22"/>
              </w:rPr>
              <w:t>ів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3B7756" w:rsidRDefault="00BB4C18" w:rsidP="00BB4C18">
            <w:pPr>
              <w:jc w:val="center"/>
              <w:rPr>
                <w:b/>
                <w:sz w:val="22"/>
                <w:szCs w:val="22"/>
              </w:rPr>
            </w:pPr>
            <w:r w:rsidRPr="003B7756">
              <w:rPr>
                <w:b/>
                <w:sz w:val="22"/>
                <w:szCs w:val="22"/>
              </w:rPr>
              <w:t>У сфері управління районних в м</w:t>
            </w:r>
            <w:r>
              <w:rPr>
                <w:b/>
                <w:sz w:val="22"/>
                <w:szCs w:val="22"/>
              </w:rPr>
              <w:t>істі</w:t>
            </w:r>
            <w:r w:rsidRPr="003B7756">
              <w:rPr>
                <w:b/>
                <w:sz w:val="22"/>
                <w:szCs w:val="22"/>
              </w:rPr>
              <w:t xml:space="preserve"> Києві державних адміністрацій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3B7756" w:rsidRDefault="00BB4C18" w:rsidP="00BB4C18">
            <w:pPr>
              <w:jc w:val="center"/>
              <w:rPr>
                <w:b/>
                <w:sz w:val="22"/>
                <w:szCs w:val="22"/>
              </w:rPr>
            </w:pPr>
            <w:r w:rsidRPr="003B7756">
              <w:rPr>
                <w:b/>
                <w:sz w:val="22"/>
                <w:szCs w:val="22"/>
              </w:rPr>
              <w:t>Разом по підприємствах комунальної власності міста</w:t>
            </w:r>
          </w:p>
        </w:tc>
      </w:tr>
      <w:tr w:rsidR="00BB4C18" w:rsidRPr="004A5B2C" w:rsidTr="00BB4C18">
        <w:trPr>
          <w:trHeight w:val="7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3B7756" w:rsidRDefault="00BB4C18" w:rsidP="00BB4C1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3B7756" w:rsidRDefault="00BB4C18" w:rsidP="00BB4C18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3B7756">
              <w:rPr>
                <w:b/>
                <w:sz w:val="20"/>
                <w:szCs w:val="20"/>
              </w:rPr>
              <w:t>2017 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3B7756" w:rsidRDefault="00BB4C18" w:rsidP="00BB4C18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3B7756">
              <w:rPr>
                <w:b/>
                <w:sz w:val="20"/>
                <w:szCs w:val="20"/>
              </w:rPr>
              <w:t>2018р.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3B7756" w:rsidRDefault="00BB4C18" w:rsidP="00BB4C18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3B7756">
              <w:rPr>
                <w:b/>
                <w:sz w:val="20"/>
                <w:szCs w:val="20"/>
              </w:rPr>
              <w:t>приріст,</w:t>
            </w:r>
          </w:p>
          <w:p w:rsidR="00BB4C18" w:rsidRPr="003B7756" w:rsidRDefault="00BB4C18" w:rsidP="00BB4C18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3B775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3B7756" w:rsidRDefault="00BB4C18" w:rsidP="00BB4C18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3B7756">
              <w:rPr>
                <w:b/>
                <w:sz w:val="20"/>
                <w:szCs w:val="20"/>
              </w:rPr>
              <w:t>2017 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3B7756" w:rsidRDefault="00BB4C18" w:rsidP="00BB4C18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3B7756">
              <w:rPr>
                <w:b/>
                <w:sz w:val="20"/>
                <w:szCs w:val="20"/>
              </w:rPr>
              <w:t>2018р.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3B7756" w:rsidRDefault="00BB4C18" w:rsidP="00BB4C18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3B7756">
              <w:rPr>
                <w:b/>
                <w:sz w:val="20"/>
                <w:szCs w:val="20"/>
              </w:rPr>
              <w:t>приріст,</w:t>
            </w:r>
          </w:p>
          <w:p w:rsidR="00BB4C18" w:rsidRPr="003B7756" w:rsidRDefault="00BB4C18" w:rsidP="00BB4C18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3B775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3B7756" w:rsidRDefault="00BB4C18" w:rsidP="00BB4C18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3B7756">
              <w:rPr>
                <w:b/>
                <w:sz w:val="20"/>
                <w:szCs w:val="20"/>
              </w:rPr>
              <w:t>2017 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3B7756" w:rsidRDefault="00BB4C18" w:rsidP="00BB4C18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3B7756">
              <w:rPr>
                <w:b/>
                <w:sz w:val="20"/>
                <w:szCs w:val="20"/>
              </w:rPr>
              <w:t>2018р.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3B7756" w:rsidRDefault="00BB4C18" w:rsidP="00BB4C18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3B7756">
              <w:rPr>
                <w:b/>
                <w:sz w:val="20"/>
                <w:szCs w:val="20"/>
              </w:rPr>
              <w:t>приріст,</w:t>
            </w:r>
          </w:p>
          <w:p w:rsidR="00BB4C18" w:rsidRPr="003B7756" w:rsidRDefault="00BB4C18" w:rsidP="00BB4C18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3B7756">
              <w:rPr>
                <w:b/>
                <w:sz w:val="20"/>
                <w:szCs w:val="20"/>
              </w:rPr>
              <w:t>%</w:t>
            </w:r>
          </w:p>
        </w:tc>
      </w:tr>
      <w:tr w:rsidR="00BB4C18" w:rsidRPr="004A5B2C" w:rsidTr="00BB4C18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C18" w:rsidRPr="003B7756" w:rsidRDefault="00BB4C18" w:rsidP="00BB4C18">
            <w:pPr>
              <w:rPr>
                <w:sz w:val="22"/>
                <w:szCs w:val="22"/>
              </w:rPr>
            </w:pPr>
            <w:r w:rsidRPr="003B7756">
              <w:rPr>
                <w:sz w:val="22"/>
                <w:szCs w:val="22"/>
              </w:rPr>
              <w:t>Сукупні доходи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3B7756" w:rsidRDefault="00BB4C18" w:rsidP="00BB4C18">
            <w:pPr>
              <w:ind w:left="-208" w:right="-90"/>
              <w:jc w:val="right"/>
              <w:rPr>
                <w:sz w:val="22"/>
                <w:szCs w:val="22"/>
              </w:rPr>
            </w:pPr>
            <w:r w:rsidRPr="003B7756">
              <w:rPr>
                <w:sz w:val="22"/>
                <w:szCs w:val="22"/>
              </w:rPr>
              <w:t>12 769,3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3B7756" w:rsidRDefault="00BB4C18" w:rsidP="00BB4C18">
            <w:pPr>
              <w:jc w:val="right"/>
              <w:rPr>
                <w:sz w:val="22"/>
                <w:szCs w:val="22"/>
              </w:rPr>
            </w:pPr>
            <w:r w:rsidRPr="003B7756">
              <w:rPr>
                <w:sz w:val="22"/>
                <w:szCs w:val="22"/>
              </w:rPr>
              <w:t>20 942,1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+64,0%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 w:right="-1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6 141,5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108" w:right="-108" w:firstLine="100"/>
              <w:jc w:val="right"/>
              <w:rPr>
                <w:sz w:val="22"/>
                <w:szCs w:val="22"/>
                <w:lang w:val="en-US"/>
              </w:rPr>
            </w:pPr>
            <w:r w:rsidRPr="00F74142">
              <w:rPr>
                <w:sz w:val="22"/>
                <w:szCs w:val="22"/>
              </w:rPr>
              <w:t>6 603,0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+7,5%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18 910,8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27 545,1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94297F" w:rsidRDefault="00BB4C18" w:rsidP="00BB4C18">
            <w:pPr>
              <w:jc w:val="right"/>
              <w:rPr>
                <w:sz w:val="22"/>
                <w:szCs w:val="22"/>
              </w:rPr>
            </w:pPr>
            <w:r w:rsidRPr="0094297F">
              <w:rPr>
                <w:sz w:val="22"/>
                <w:szCs w:val="22"/>
              </w:rPr>
              <w:t>+45,7%</w:t>
            </w:r>
          </w:p>
        </w:tc>
      </w:tr>
      <w:tr w:rsidR="00BB4C18" w:rsidRPr="004A5B2C" w:rsidTr="00BB4C18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C18" w:rsidRPr="003B7756" w:rsidRDefault="00BB4C18" w:rsidP="00BB4C18">
            <w:pPr>
              <w:rPr>
                <w:sz w:val="22"/>
                <w:szCs w:val="22"/>
              </w:rPr>
            </w:pPr>
            <w:r w:rsidRPr="003B7756">
              <w:rPr>
                <w:sz w:val="22"/>
                <w:szCs w:val="22"/>
              </w:rPr>
              <w:t>в т.ч. виручка від реалізації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3B7756" w:rsidRDefault="00BB4C18" w:rsidP="00BB4C18">
            <w:pPr>
              <w:ind w:left="-208" w:right="-90"/>
              <w:jc w:val="right"/>
              <w:rPr>
                <w:sz w:val="22"/>
                <w:szCs w:val="22"/>
                <w:lang w:val="en-US"/>
              </w:rPr>
            </w:pPr>
            <w:r w:rsidRPr="003B7756">
              <w:rPr>
                <w:sz w:val="22"/>
                <w:szCs w:val="22"/>
              </w:rPr>
              <w:t>7 681,6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3B7756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3B7756">
              <w:rPr>
                <w:sz w:val="22"/>
                <w:szCs w:val="22"/>
              </w:rPr>
              <w:t>14 701,7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+91,4%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 w:right="-1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3 987,2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 w:right="-1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4 753,8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+19,2%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11 668,8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19 455,5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94297F" w:rsidRDefault="00BB4C18" w:rsidP="00BB4C18">
            <w:pPr>
              <w:jc w:val="right"/>
              <w:rPr>
                <w:sz w:val="22"/>
                <w:szCs w:val="22"/>
              </w:rPr>
            </w:pPr>
            <w:r w:rsidRPr="0094297F">
              <w:rPr>
                <w:sz w:val="22"/>
                <w:szCs w:val="22"/>
              </w:rPr>
              <w:t>+66,7%</w:t>
            </w:r>
          </w:p>
        </w:tc>
      </w:tr>
      <w:tr w:rsidR="00BB4C18" w:rsidRPr="004A5B2C" w:rsidTr="00BB4C18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C18" w:rsidRPr="003B7756" w:rsidRDefault="00BB4C18" w:rsidP="00BB4C18">
            <w:pPr>
              <w:rPr>
                <w:sz w:val="22"/>
                <w:szCs w:val="22"/>
              </w:rPr>
            </w:pPr>
            <w:r w:rsidRPr="003B7756">
              <w:rPr>
                <w:sz w:val="22"/>
                <w:szCs w:val="22"/>
              </w:rPr>
              <w:t>сукупні прибутки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3B7756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3B7756">
              <w:rPr>
                <w:sz w:val="22"/>
                <w:szCs w:val="22"/>
              </w:rPr>
              <w:t>451,1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3B7756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3B7756">
              <w:rPr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-43,4%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-49,2%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94297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94297F">
              <w:rPr>
                <w:sz w:val="22"/>
                <w:szCs w:val="22"/>
              </w:rPr>
              <w:t>515,1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94297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94297F">
              <w:rPr>
                <w:sz w:val="22"/>
                <w:szCs w:val="22"/>
              </w:rPr>
              <w:t>287,9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94297F" w:rsidRDefault="00BB4C18" w:rsidP="00BB4C18">
            <w:pPr>
              <w:jc w:val="right"/>
              <w:rPr>
                <w:sz w:val="22"/>
                <w:szCs w:val="22"/>
              </w:rPr>
            </w:pPr>
            <w:r w:rsidRPr="0094297F">
              <w:rPr>
                <w:sz w:val="22"/>
                <w:szCs w:val="22"/>
              </w:rPr>
              <w:t>-44,1%</w:t>
            </w:r>
          </w:p>
        </w:tc>
      </w:tr>
      <w:tr w:rsidR="00BB4C18" w:rsidRPr="004A5B2C" w:rsidTr="00BB4C18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C18" w:rsidRPr="003B7756" w:rsidRDefault="00BB4C18" w:rsidP="00BB4C18">
            <w:pPr>
              <w:rPr>
                <w:sz w:val="22"/>
                <w:szCs w:val="22"/>
              </w:rPr>
            </w:pPr>
            <w:r w:rsidRPr="003B7756">
              <w:rPr>
                <w:sz w:val="22"/>
                <w:szCs w:val="22"/>
              </w:rPr>
              <w:t>сукупні збитки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1 509,4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3B7756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3B7756">
              <w:rPr>
                <w:sz w:val="22"/>
                <w:szCs w:val="22"/>
              </w:rPr>
              <w:t>1 193,0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-21,0%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-36,8%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94297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94297F">
              <w:rPr>
                <w:sz w:val="22"/>
                <w:szCs w:val="22"/>
              </w:rPr>
              <w:t>1 513,2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94297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94297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94297F">
              <w:rPr>
                <w:sz w:val="22"/>
                <w:szCs w:val="22"/>
              </w:rPr>
              <w:t>195,4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94297F" w:rsidRDefault="00BB4C18" w:rsidP="00BB4C18">
            <w:pPr>
              <w:jc w:val="right"/>
              <w:rPr>
                <w:sz w:val="22"/>
                <w:szCs w:val="22"/>
              </w:rPr>
            </w:pPr>
            <w:r w:rsidRPr="0094297F">
              <w:rPr>
                <w:sz w:val="22"/>
                <w:szCs w:val="22"/>
              </w:rPr>
              <w:t>-21,0%</w:t>
            </w:r>
          </w:p>
        </w:tc>
      </w:tr>
      <w:tr w:rsidR="00BB4C18" w:rsidRPr="004A5B2C" w:rsidTr="00BB4C18">
        <w:trPr>
          <w:trHeight w:val="7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C18" w:rsidRPr="003B7756" w:rsidRDefault="00BB4C18" w:rsidP="00BB4C18">
            <w:pPr>
              <w:rPr>
                <w:sz w:val="22"/>
                <w:szCs w:val="22"/>
              </w:rPr>
            </w:pPr>
            <w:r w:rsidRPr="003B7756">
              <w:rPr>
                <w:sz w:val="22"/>
                <w:szCs w:val="22"/>
              </w:rPr>
              <w:t xml:space="preserve">середня чисельність штатних працівників (осіб) за </w:t>
            </w:r>
            <w:r>
              <w:rPr>
                <w:sz w:val="22"/>
                <w:szCs w:val="22"/>
              </w:rPr>
              <w:t>грудень,</w:t>
            </w:r>
            <w:r w:rsidRPr="003B7756">
              <w:t xml:space="preserve"> </w:t>
            </w:r>
            <w:proofErr w:type="spellStart"/>
            <w:r w:rsidRPr="003B7756">
              <w:rPr>
                <w:b/>
                <w:sz w:val="22"/>
                <w:szCs w:val="22"/>
              </w:rPr>
              <w:t>тис.осіб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741831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741831">
              <w:rPr>
                <w:sz w:val="22"/>
                <w:szCs w:val="22"/>
              </w:rPr>
              <w:t>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3B7756" w:rsidRDefault="00BB4C18" w:rsidP="00BB4C18">
            <w:pPr>
              <w:ind w:left="-208"/>
              <w:jc w:val="right"/>
              <w:rPr>
                <w:sz w:val="22"/>
                <w:szCs w:val="22"/>
                <w:lang w:val="en-US"/>
              </w:rPr>
            </w:pPr>
            <w:r w:rsidRPr="003B7756">
              <w:rPr>
                <w:sz w:val="22"/>
                <w:szCs w:val="22"/>
              </w:rPr>
              <w:t>42,2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741831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741831">
              <w:rPr>
                <w:sz w:val="22"/>
                <w:szCs w:val="22"/>
              </w:rPr>
              <w:t>+29,5</w:t>
            </w:r>
            <w:r w:rsidRPr="00741831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3D34E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3D34E2">
              <w:rPr>
                <w:sz w:val="22"/>
                <w:szCs w:val="22"/>
              </w:rPr>
              <w:t>24,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74142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F74142">
              <w:rPr>
                <w:sz w:val="22"/>
                <w:szCs w:val="22"/>
              </w:rPr>
              <w:t>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741831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74183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</w:t>
            </w:r>
            <w:r w:rsidRPr="0074183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741831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741831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741831">
              <w:rPr>
                <w:sz w:val="22"/>
                <w:szCs w:val="22"/>
              </w:rPr>
              <w:t>57,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94297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94297F">
              <w:rPr>
                <w:sz w:val="22"/>
                <w:szCs w:val="22"/>
              </w:rPr>
              <w:t>65,7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741831" w:rsidRDefault="00BB4C18" w:rsidP="00BB4C18">
            <w:pPr>
              <w:jc w:val="right"/>
              <w:rPr>
                <w:sz w:val="22"/>
                <w:szCs w:val="22"/>
              </w:rPr>
            </w:pPr>
            <w:r w:rsidRPr="00741831">
              <w:rPr>
                <w:sz w:val="22"/>
                <w:szCs w:val="22"/>
              </w:rPr>
              <w:t>+14,</w:t>
            </w:r>
            <w:r>
              <w:rPr>
                <w:sz w:val="22"/>
                <w:szCs w:val="22"/>
              </w:rPr>
              <w:t>5</w:t>
            </w:r>
            <w:r w:rsidRPr="00741831">
              <w:rPr>
                <w:sz w:val="22"/>
                <w:szCs w:val="22"/>
              </w:rPr>
              <w:t>%</w:t>
            </w:r>
          </w:p>
        </w:tc>
      </w:tr>
    </w:tbl>
    <w:p w:rsidR="00BB4C18" w:rsidRPr="004A5B2C" w:rsidRDefault="00BB4C18" w:rsidP="00BB4C18">
      <w:pPr>
        <w:ind w:firstLine="851"/>
        <w:jc w:val="right"/>
        <w:rPr>
          <w:color w:val="FF0000"/>
          <w:sz w:val="28"/>
          <w:szCs w:val="28"/>
          <w:lang w:val="en-US"/>
        </w:rPr>
      </w:pPr>
    </w:p>
    <w:p w:rsidR="00BB4C18" w:rsidRPr="004A5B2C" w:rsidRDefault="00BB4C18" w:rsidP="00BB4C18">
      <w:pPr>
        <w:ind w:firstLine="851"/>
        <w:jc w:val="both"/>
        <w:rPr>
          <w:color w:val="FF0000"/>
          <w:sz w:val="28"/>
          <w:szCs w:val="28"/>
        </w:rPr>
      </w:pPr>
      <w:r w:rsidRPr="00FD4491">
        <w:rPr>
          <w:sz w:val="28"/>
          <w:szCs w:val="28"/>
        </w:rPr>
        <w:t>У звітному періоді збитки отримали 68 підприємств</w:t>
      </w:r>
      <w:r>
        <w:rPr>
          <w:sz w:val="28"/>
          <w:szCs w:val="28"/>
        </w:rPr>
        <w:t xml:space="preserve"> та організацій</w:t>
      </w:r>
      <w:r w:rsidRPr="00FD4491">
        <w:rPr>
          <w:sz w:val="28"/>
          <w:szCs w:val="28"/>
        </w:rPr>
        <w:t xml:space="preserve"> комунальної власності, що підпорядковані Київ</w:t>
      </w:r>
      <w:r>
        <w:rPr>
          <w:sz w:val="28"/>
          <w:szCs w:val="28"/>
        </w:rPr>
        <w:t>ській міській раді</w:t>
      </w:r>
      <w:r w:rsidRPr="00FD4491">
        <w:rPr>
          <w:sz w:val="28"/>
          <w:szCs w:val="28"/>
        </w:rPr>
        <w:t xml:space="preserve"> та структурним підрозділам</w:t>
      </w:r>
      <w:r>
        <w:rPr>
          <w:sz w:val="28"/>
          <w:szCs w:val="28"/>
        </w:rPr>
        <w:t xml:space="preserve"> виконавчого органу Київської міської ради</w:t>
      </w:r>
      <w:r w:rsidRPr="00FD4491">
        <w:rPr>
          <w:sz w:val="28"/>
          <w:szCs w:val="28"/>
        </w:rPr>
        <w:t xml:space="preserve"> </w:t>
      </w:r>
      <w:r>
        <w:rPr>
          <w:sz w:val="28"/>
          <w:szCs w:val="28"/>
        </w:rPr>
        <w:t>(Київської міської державної адміністрації)</w:t>
      </w:r>
      <w:r w:rsidRPr="00FD4491">
        <w:rPr>
          <w:sz w:val="28"/>
          <w:szCs w:val="28"/>
        </w:rPr>
        <w:t xml:space="preserve"> (додаток 2).</w:t>
      </w:r>
      <w:r w:rsidRPr="004A5B2C">
        <w:rPr>
          <w:color w:val="FF0000"/>
          <w:sz w:val="28"/>
          <w:szCs w:val="28"/>
        </w:rPr>
        <w:t xml:space="preserve"> </w:t>
      </w:r>
      <w:r w:rsidRPr="00FD4491">
        <w:rPr>
          <w:sz w:val="28"/>
          <w:szCs w:val="28"/>
        </w:rPr>
        <w:t>Окрім того, 49 підприємств</w:t>
      </w:r>
      <w:r>
        <w:rPr>
          <w:sz w:val="28"/>
          <w:szCs w:val="28"/>
        </w:rPr>
        <w:t xml:space="preserve"> та організацій</w:t>
      </w:r>
      <w:r w:rsidRPr="00FD4491">
        <w:rPr>
          <w:sz w:val="28"/>
          <w:szCs w:val="28"/>
        </w:rPr>
        <w:t xml:space="preserve"> отримал</w:t>
      </w:r>
      <w:r>
        <w:rPr>
          <w:sz w:val="28"/>
          <w:szCs w:val="28"/>
        </w:rPr>
        <w:t>и</w:t>
      </w:r>
      <w:r w:rsidRPr="00FD4491">
        <w:rPr>
          <w:sz w:val="28"/>
          <w:szCs w:val="28"/>
        </w:rPr>
        <w:t xml:space="preserve"> нульовий фінансовий результат (додаток 3).</w:t>
      </w:r>
    </w:p>
    <w:p w:rsidR="00BB4C18" w:rsidRPr="00FC2AFD" w:rsidRDefault="00BB4C18" w:rsidP="00BB4C18">
      <w:pPr>
        <w:ind w:firstLine="851"/>
        <w:jc w:val="both"/>
        <w:rPr>
          <w:color w:val="FF0000"/>
          <w:sz w:val="28"/>
          <w:szCs w:val="28"/>
        </w:rPr>
      </w:pPr>
      <w:r w:rsidRPr="00FC2AFD">
        <w:rPr>
          <w:sz w:val="28"/>
          <w:szCs w:val="28"/>
        </w:rPr>
        <w:t>Слід зазначити, що з 258 суб’єктів господарювання міського підпорядкування</w:t>
      </w:r>
      <w:r w:rsidRPr="00FC2AFD">
        <w:rPr>
          <w:color w:val="FF0000"/>
          <w:sz w:val="28"/>
          <w:szCs w:val="28"/>
        </w:rPr>
        <w:t xml:space="preserve"> </w:t>
      </w:r>
      <w:r w:rsidRPr="00647A42">
        <w:rPr>
          <w:sz w:val="28"/>
          <w:szCs w:val="28"/>
        </w:rPr>
        <w:t>29 підприємств не звітують та перебувають в стадії припинення за рішенням власника, 1 підприємство перебуває на території              АР Крим, 7 – не звітують, при цьому не перебувають в ста</w:t>
      </w:r>
      <w:r>
        <w:rPr>
          <w:sz w:val="28"/>
          <w:szCs w:val="28"/>
        </w:rPr>
        <w:t>дії</w:t>
      </w:r>
      <w:r w:rsidRPr="00647A42">
        <w:rPr>
          <w:sz w:val="28"/>
          <w:szCs w:val="28"/>
        </w:rPr>
        <w:t xml:space="preserve"> припинення за рішенням власника (додаток 4).</w:t>
      </w:r>
    </w:p>
    <w:p w:rsidR="00BB4C18" w:rsidRDefault="00BB4C18" w:rsidP="00BB4C18">
      <w:pPr>
        <w:ind w:firstLine="851"/>
        <w:jc w:val="both"/>
        <w:rPr>
          <w:sz w:val="28"/>
          <w:szCs w:val="28"/>
        </w:rPr>
      </w:pPr>
      <w:r w:rsidRPr="008165AE">
        <w:rPr>
          <w:sz w:val="28"/>
          <w:szCs w:val="28"/>
        </w:rPr>
        <w:t>Найбільший обсяг збитків серед суб’єктів господарювання, які підпорядковані Київ</w:t>
      </w:r>
      <w:r>
        <w:rPr>
          <w:sz w:val="28"/>
          <w:szCs w:val="28"/>
        </w:rPr>
        <w:t>ській міській раді</w:t>
      </w:r>
      <w:r w:rsidRPr="008165AE">
        <w:rPr>
          <w:sz w:val="28"/>
          <w:szCs w:val="28"/>
        </w:rPr>
        <w:t xml:space="preserve"> та структурним підрозділам виконавчого органу Київ</w:t>
      </w:r>
      <w:r>
        <w:rPr>
          <w:sz w:val="28"/>
          <w:szCs w:val="28"/>
        </w:rPr>
        <w:t>ської міської ради</w:t>
      </w:r>
      <w:r w:rsidRPr="008165AE">
        <w:rPr>
          <w:sz w:val="28"/>
          <w:szCs w:val="28"/>
        </w:rPr>
        <w:t xml:space="preserve"> (</w:t>
      </w:r>
      <w:r>
        <w:rPr>
          <w:sz w:val="28"/>
          <w:szCs w:val="28"/>
        </w:rPr>
        <w:t>Київської міської державної адміністрації</w:t>
      </w:r>
      <w:r w:rsidRPr="008165AE">
        <w:rPr>
          <w:sz w:val="28"/>
          <w:szCs w:val="28"/>
        </w:rPr>
        <w:t>), отримали підприємства зазначені у таблиці 4.</w:t>
      </w:r>
    </w:p>
    <w:p w:rsidR="00953F9A" w:rsidRPr="008165AE" w:rsidRDefault="00953F9A" w:rsidP="00BB4C18">
      <w:pPr>
        <w:ind w:firstLine="851"/>
        <w:jc w:val="both"/>
        <w:rPr>
          <w:sz w:val="28"/>
          <w:szCs w:val="28"/>
        </w:rPr>
      </w:pPr>
    </w:p>
    <w:p w:rsidR="00BB4C18" w:rsidRDefault="00BB4C18" w:rsidP="00BB4C18">
      <w:pPr>
        <w:ind w:firstLine="851"/>
        <w:jc w:val="right"/>
        <w:rPr>
          <w:sz w:val="28"/>
          <w:szCs w:val="28"/>
        </w:rPr>
      </w:pPr>
      <w:r w:rsidRPr="00647A42">
        <w:rPr>
          <w:sz w:val="28"/>
          <w:szCs w:val="28"/>
        </w:rPr>
        <w:t>Таблиця 4</w:t>
      </w:r>
    </w:p>
    <w:p w:rsidR="00953F9A" w:rsidRPr="00647A42" w:rsidRDefault="00953F9A" w:rsidP="00BB4C18">
      <w:pPr>
        <w:ind w:firstLine="851"/>
        <w:jc w:val="right"/>
        <w:rPr>
          <w:sz w:val="28"/>
          <w:szCs w:val="28"/>
        </w:rPr>
      </w:pPr>
    </w:p>
    <w:p w:rsidR="00BB4C18" w:rsidRDefault="00BB4C18" w:rsidP="00BB4C18">
      <w:pPr>
        <w:ind w:firstLine="851"/>
        <w:jc w:val="center"/>
        <w:rPr>
          <w:b/>
          <w:sz w:val="28"/>
          <w:szCs w:val="28"/>
        </w:rPr>
      </w:pPr>
      <w:r w:rsidRPr="008165AE">
        <w:rPr>
          <w:b/>
          <w:sz w:val="28"/>
          <w:szCs w:val="28"/>
        </w:rPr>
        <w:t>Перелік підприємств</w:t>
      </w:r>
      <w:r>
        <w:rPr>
          <w:b/>
          <w:sz w:val="28"/>
          <w:szCs w:val="28"/>
        </w:rPr>
        <w:t>, організацій</w:t>
      </w:r>
      <w:r w:rsidRPr="008165AE">
        <w:rPr>
          <w:b/>
          <w:sz w:val="28"/>
          <w:szCs w:val="28"/>
        </w:rPr>
        <w:t>, які підпорядковані структурним підрозділам виконавчого органу Київ</w:t>
      </w:r>
      <w:r>
        <w:rPr>
          <w:b/>
          <w:sz w:val="28"/>
          <w:szCs w:val="28"/>
        </w:rPr>
        <w:t>ської міської ради</w:t>
      </w:r>
      <w:r w:rsidRPr="008165AE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Київської міської державної адміністрації</w:t>
      </w:r>
      <w:r w:rsidRPr="008165AE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8165AE">
        <w:rPr>
          <w:b/>
          <w:sz w:val="28"/>
          <w:szCs w:val="28"/>
        </w:rPr>
        <w:t>та отримали найбільший обсяг збитків</w:t>
      </w:r>
      <w:r>
        <w:rPr>
          <w:b/>
          <w:sz w:val="28"/>
          <w:szCs w:val="28"/>
        </w:rPr>
        <w:t xml:space="preserve">, </w:t>
      </w:r>
    </w:p>
    <w:p w:rsidR="00BB4C18" w:rsidRPr="008165AE" w:rsidRDefault="00BB4C18" w:rsidP="00BB4C18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станом на 01.01.2019 року</w:t>
      </w:r>
      <w:r w:rsidRPr="008165AE">
        <w:rPr>
          <w:b/>
          <w:sz w:val="28"/>
          <w:szCs w:val="28"/>
        </w:rPr>
        <w:t xml:space="preserve"> </w:t>
      </w:r>
    </w:p>
    <w:p w:rsidR="00BB4C18" w:rsidRPr="00647A42" w:rsidRDefault="00BB4C18" w:rsidP="00BB4C18">
      <w:pPr>
        <w:ind w:firstLine="851"/>
        <w:jc w:val="right"/>
        <w:rPr>
          <w:b/>
          <w:sz w:val="28"/>
          <w:szCs w:val="28"/>
        </w:rPr>
      </w:pPr>
      <w:proofErr w:type="spellStart"/>
      <w:r w:rsidRPr="00647A42">
        <w:rPr>
          <w:sz w:val="28"/>
          <w:szCs w:val="28"/>
        </w:rPr>
        <w:t>млн</w:t>
      </w:r>
      <w:proofErr w:type="spellEnd"/>
      <w:r w:rsidRPr="00647A42">
        <w:rPr>
          <w:sz w:val="28"/>
          <w:szCs w:val="28"/>
        </w:rPr>
        <w:t xml:space="preserve"> </w:t>
      </w:r>
      <w:proofErr w:type="spellStart"/>
      <w:r w:rsidRPr="00647A42">
        <w:rPr>
          <w:sz w:val="28"/>
          <w:szCs w:val="28"/>
        </w:rPr>
        <w:t>грн</w:t>
      </w:r>
      <w:proofErr w:type="spellEnd"/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4"/>
        <w:gridCol w:w="2126"/>
        <w:gridCol w:w="1542"/>
      </w:tblGrid>
      <w:tr w:rsidR="00BB4C18" w:rsidRPr="004A5B2C" w:rsidTr="00452913">
        <w:tc>
          <w:tcPr>
            <w:tcW w:w="6204" w:type="dxa"/>
            <w:vAlign w:val="center"/>
          </w:tcPr>
          <w:p w:rsidR="00BB4C18" w:rsidRPr="00953F9A" w:rsidRDefault="00BB4C18" w:rsidP="00BB4C18">
            <w:pPr>
              <w:jc w:val="center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Назва комунальних підприємств, організацій</w:t>
            </w:r>
          </w:p>
        </w:tc>
        <w:tc>
          <w:tcPr>
            <w:tcW w:w="2126" w:type="dxa"/>
            <w:vAlign w:val="center"/>
          </w:tcPr>
          <w:p w:rsidR="00BB4C18" w:rsidRPr="00953F9A" w:rsidRDefault="00BB4C18" w:rsidP="00BB4C18">
            <w:pPr>
              <w:jc w:val="center"/>
              <w:rPr>
                <w:sz w:val="26"/>
                <w:szCs w:val="26"/>
                <w:lang w:val="ru-RU"/>
              </w:rPr>
            </w:pPr>
            <w:r w:rsidRPr="00953F9A">
              <w:rPr>
                <w:sz w:val="26"/>
                <w:szCs w:val="26"/>
              </w:rPr>
              <w:t>Сума прибутку/збитку</w:t>
            </w:r>
          </w:p>
          <w:p w:rsidR="00BB4C18" w:rsidRPr="00953F9A" w:rsidRDefault="00BB4C18" w:rsidP="00BB4C18">
            <w:pPr>
              <w:jc w:val="center"/>
              <w:rPr>
                <w:color w:val="FF0000"/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у 2017 році</w:t>
            </w:r>
          </w:p>
        </w:tc>
        <w:tc>
          <w:tcPr>
            <w:tcW w:w="1542" w:type="dxa"/>
            <w:vAlign w:val="center"/>
          </w:tcPr>
          <w:p w:rsidR="00BB4C18" w:rsidRPr="00953F9A" w:rsidRDefault="00BB4C18" w:rsidP="00BB4C18">
            <w:pPr>
              <w:jc w:val="center"/>
              <w:rPr>
                <w:sz w:val="26"/>
                <w:szCs w:val="26"/>
                <w:lang w:val="en-US"/>
              </w:rPr>
            </w:pPr>
            <w:r w:rsidRPr="00953F9A">
              <w:rPr>
                <w:sz w:val="26"/>
                <w:szCs w:val="26"/>
              </w:rPr>
              <w:t xml:space="preserve">Сума збитку </w:t>
            </w:r>
          </w:p>
          <w:p w:rsidR="00BB4C18" w:rsidRPr="00953F9A" w:rsidRDefault="00BB4C18" w:rsidP="00BB4C18">
            <w:pPr>
              <w:jc w:val="center"/>
              <w:rPr>
                <w:color w:val="FF0000"/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у 2018 році</w:t>
            </w:r>
          </w:p>
        </w:tc>
      </w:tr>
      <w:tr w:rsidR="00BB4C18" w:rsidRPr="004A5B2C" w:rsidTr="00452913">
        <w:tc>
          <w:tcPr>
            <w:tcW w:w="6204" w:type="dxa"/>
            <w:vAlign w:val="center"/>
          </w:tcPr>
          <w:p w:rsidR="00BB4C18" w:rsidRPr="00953F9A" w:rsidRDefault="00BB4C18" w:rsidP="00BB4C18">
            <w:pPr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виконавчого органу Київської міської ради (Київської міської державної адміністрації) «</w:t>
            </w:r>
            <w:proofErr w:type="spellStart"/>
            <w:r w:rsidRPr="00953F9A">
              <w:rPr>
                <w:sz w:val="26"/>
                <w:szCs w:val="26"/>
              </w:rPr>
              <w:t>Київтеплоенерго</w:t>
            </w:r>
            <w:proofErr w:type="spellEnd"/>
            <w:r w:rsidRPr="00953F9A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+0,4</w:t>
            </w:r>
          </w:p>
        </w:tc>
        <w:tc>
          <w:tcPr>
            <w:tcW w:w="1542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-1 011,9</w:t>
            </w:r>
          </w:p>
        </w:tc>
      </w:tr>
      <w:tr w:rsidR="00BB4C18" w:rsidRPr="004A5B2C" w:rsidTr="00452913">
        <w:tc>
          <w:tcPr>
            <w:tcW w:w="6204" w:type="dxa"/>
            <w:vAlign w:val="center"/>
          </w:tcPr>
          <w:p w:rsidR="00BB4C18" w:rsidRPr="00953F9A" w:rsidRDefault="00BB4C18" w:rsidP="00BB4C18">
            <w:pPr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«</w:t>
            </w:r>
            <w:proofErr w:type="spellStart"/>
            <w:r w:rsidRPr="00953F9A">
              <w:rPr>
                <w:sz w:val="26"/>
                <w:szCs w:val="26"/>
              </w:rPr>
              <w:t>Київпастранс</w:t>
            </w:r>
            <w:proofErr w:type="spellEnd"/>
            <w:r w:rsidRPr="00953F9A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+155,8</w:t>
            </w:r>
          </w:p>
        </w:tc>
        <w:tc>
          <w:tcPr>
            <w:tcW w:w="1542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-145,7</w:t>
            </w:r>
          </w:p>
        </w:tc>
      </w:tr>
      <w:tr w:rsidR="00BB4C18" w:rsidRPr="004A5B2C" w:rsidTr="00452913">
        <w:tc>
          <w:tcPr>
            <w:tcW w:w="6204" w:type="dxa"/>
            <w:vAlign w:val="center"/>
          </w:tcPr>
          <w:p w:rsidR="00BB4C18" w:rsidRPr="00953F9A" w:rsidRDefault="00BB4C18" w:rsidP="00BB4C18">
            <w:pPr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«Київський метрополітен»</w:t>
            </w:r>
          </w:p>
        </w:tc>
        <w:tc>
          <w:tcPr>
            <w:tcW w:w="2126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-1 465,8</w:t>
            </w:r>
          </w:p>
        </w:tc>
        <w:tc>
          <w:tcPr>
            <w:tcW w:w="1542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-6,0</w:t>
            </w:r>
          </w:p>
        </w:tc>
      </w:tr>
      <w:tr w:rsidR="00BB4C18" w:rsidRPr="004A5B2C" w:rsidTr="00452913">
        <w:tc>
          <w:tcPr>
            <w:tcW w:w="6204" w:type="dxa"/>
            <w:vAlign w:val="center"/>
          </w:tcPr>
          <w:p w:rsidR="00BB4C18" w:rsidRPr="00953F9A" w:rsidRDefault="00BB4C18" w:rsidP="00BB4C18">
            <w:pPr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 xml:space="preserve">Комунальне підприємство «Служба замовника житлово-комунальних послуг» </w:t>
            </w:r>
            <w:proofErr w:type="spellStart"/>
            <w:r w:rsidRPr="00953F9A">
              <w:rPr>
                <w:sz w:val="26"/>
                <w:szCs w:val="26"/>
              </w:rPr>
              <w:t>Оболонського</w:t>
            </w:r>
            <w:proofErr w:type="spellEnd"/>
            <w:r w:rsidRPr="00953F9A">
              <w:rPr>
                <w:sz w:val="26"/>
                <w:szCs w:val="26"/>
              </w:rPr>
              <w:t xml:space="preserve"> району у м. Києві</w:t>
            </w:r>
          </w:p>
        </w:tc>
        <w:tc>
          <w:tcPr>
            <w:tcW w:w="2126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-2,3</w:t>
            </w:r>
          </w:p>
        </w:tc>
        <w:tc>
          <w:tcPr>
            <w:tcW w:w="1542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-4,0</w:t>
            </w:r>
          </w:p>
        </w:tc>
      </w:tr>
      <w:tr w:rsidR="00BB4C18" w:rsidRPr="004A5B2C" w:rsidTr="00452913">
        <w:tc>
          <w:tcPr>
            <w:tcW w:w="6204" w:type="dxa"/>
            <w:vAlign w:val="center"/>
          </w:tcPr>
          <w:p w:rsidR="00BB4C18" w:rsidRPr="00953F9A" w:rsidRDefault="00BB4C18" w:rsidP="00BB4C18">
            <w:pPr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Київської міської ради «Телекомпанія «Київ»</w:t>
            </w:r>
          </w:p>
        </w:tc>
        <w:tc>
          <w:tcPr>
            <w:tcW w:w="2126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-0,9</w:t>
            </w:r>
          </w:p>
        </w:tc>
        <w:tc>
          <w:tcPr>
            <w:tcW w:w="1542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-2,5</w:t>
            </w:r>
          </w:p>
        </w:tc>
      </w:tr>
      <w:tr w:rsidR="00BB4C18" w:rsidRPr="004A5B2C" w:rsidTr="00452913">
        <w:tc>
          <w:tcPr>
            <w:tcW w:w="6204" w:type="dxa"/>
            <w:vAlign w:val="center"/>
          </w:tcPr>
          <w:p w:rsidR="00BB4C18" w:rsidRPr="00953F9A" w:rsidRDefault="00BB4C18" w:rsidP="00BB4C18">
            <w:pPr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«Київський міський центр земельного кадастру та приватизації землі»</w:t>
            </w:r>
          </w:p>
        </w:tc>
        <w:tc>
          <w:tcPr>
            <w:tcW w:w="2126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+4,9</w:t>
            </w:r>
          </w:p>
        </w:tc>
        <w:tc>
          <w:tcPr>
            <w:tcW w:w="1542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-2,2</w:t>
            </w:r>
          </w:p>
        </w:tc>
      </w:tr>
      <w:tr w:rsidR="00BB4C18" w:rsidRPr="004A5B2C" w:rsidTr="00452913">
        <w:tc>
          <w:tcPr>
            <w:tcW w:w="6204" w:type="dxa"/>
            <w:vAlign w:val="center"/>
          </w:tcPr>
          <w:p w:rsidR="00BB4C18" w:rsidRPr="00953F9A" w:rsidRDefault="00BB4C18" w:rsidP="00BB4C18">
            <w:pPr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Міське медично-виробниче підприємство «Профілактична дезінфекція»</w:t>
            </w:r>
          </w:p>
        </w:tc>
        <w:tc>
          <w:tcPr>
            <w:tcW w:w="2126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+0,01</w:t>
            </w:r>
          </w:p>
        </w:tc>
        <w:tc>
          <w:tcPr>
            <w:tcW w:w="1542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-1,7</w:t>
            </w:r>
          </w:p>
        </w:tc>
      </w:tr>
      <w:tr w:rsidR="00BB4C18" w:rsidRPr="004A5B2C" w:rsidTr="00452913">
        <w:tc>
          <w:tcPr>
            <w:tcW w:w="6204" w:type="dxa"/>
            <w:vAlign w:val="center"/>
          </w:tcPr>
          <w:p w:rsidR="00BB4C18" w:rsidRPr="00953F9A" w:rsidRDefault="00BB4C18" w:rsidP="00BB4C18">
            <w:pPr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виконавчого органу Київської міської ради (Київської міської державної адміністрації) «Муніципальна охорона»</w:t>
            </w:r>
          </w:p>
        </w:tc>
        <w:tc>
          <w:tcPr>
            <w:tcW w:w="2126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-0,1</w:t>
            </w:r>
          </w:p>
        </w:tc>
        <w:tc>
          <w:tcPr>
            <w:tcW w:w="1542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-1,6</w:t>
            </w:r>
          </w:p>
        </w:tc>
      </w:tr>
      <w:tr w:rsidR="00BB4C18" w:rsidRPr="004A5B2C" w:rsidTr="00452913">
        <w:tc>
          <w:tcPr>
            <w:tcW w:w="6204" w:type="dxa"/>
            <w:vAlign w:val="center"/>
          </w:tcPr>
          <w:p w:rsidR="00BB4C18" w:rsidRPr="00953F9A" w:rsidRDefault="00BB4C18" w:rsidP="00BB4C18">
            <w:pPr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 xml:space="preserve">Ритуальна служба спеціалізоване комунальне підприємство «Спеціалізований комбінат підприємств комунально-побутового </w:t>
            </w:r>
            <w:r w:rsidRPr="00953F9A">
              <w:rPr>
                <w:sz w:val="26"/>
                <w:szCs w:val="26"/>
              </w:rPr>
              <w:lastRenderedPageBreak/>
              <w:t>обслуговування»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2126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lastRenderedPageBreak/>
              <w:t>+0,1</w:t>
            </w:r>
          </w:p>
        </w:tc>
        <w:tc>
          <w:tcPr>
            <w:tcW w:w="1542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-1,5</w:t>
            </w:r>
          </w:p>
        </w:tc>
      </w:tr>
      <w:tr w:rsidR="00BB4C18" w:rsidRPr="004A5B2C" w:rsidTr="00452913">
        <w:tc>
          <w:tcPr>
            <w:tcW w:w="6204" w:type="dxa"/>
            <w:vAlign w:val="center"/>
          </w:tcPr>
          <w:p w:rsidR="00BB4C18" w:rsidRPr="00953F9A" w:rsidRDefault="00BB4C18" w:rsidP="00BB4C18">
            <w:pPr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lastRenderedPageBreak/>
              <w:t>Комунальне підприємство «</w:t>
            </w:r>
            <w:proofErr w:type="spellStart"/>
            <w:r w:rsidRPr="00953F9A">
              <w:rPr>
                <w:sz w:val="26"/>
                <w:szCs w:val="26"/>
              </w:rPr>
              <w:t>Житлосервіс</w:t>
            </w:r>
            <w:proofErr w:type="spellEnd"/>
            <w:r w:rsidRPr="00953F9A">
              <w:rPr>
                <w:sz w:val="26"/>
                <w:szCs w:val="26"/>
              </w:rPr>
              <w:t xml:space="preserve"> «Куренівка» </w:t>
            </w:r>
            <w:proofErr w:type="spellStart"/>
            <w:r w:rsidRPr="00953F9A">
              <w:rPr>
                <w:sz w:val="26"/>
                <w:szCs w:val="26"/>
              </w:rPr>
              <w:t>Оболонського</w:t>
            </w:r>
            <w:proofErr w:type="spellEnd"/>
            <w:r w:rsidRPr="00953F9A">
              <w:rPr>
                <w:sz w:val="26"/>
                <w:szCs w:val="26"/>
              </w:rPr>
              <w:t xml:space="preserve"> району у                  м. Києві</w:t>
            </w:r>
          </w:p>
        </w:tc>
        <w:tc>
          <w:tcPr>
            <w:tcW w:w="2126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-0,002</w:t>
            </w:r>
          </w:p>
        </w:tc>
        <w:tc>
          <w:tcPr>
            <w:tcW w:w="1542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-1,3</w:t>
            </w:r>
          </w:p>
        </w:tc>
      </w:tr>
      <w:tr w:rsidR="00BB4C18" w:rsidRPr="004A5B2C" w:rsidTr="00452913">
        <w:tc>
          <w:tcPr>
            <w:tcW w:w="6204" w:type="dxa"/>
            <w:vAlign w:val="center"/>
          </w:tcPr>
          <w:p w:rsidR="00BB4C18" w:rsidRPr="00953F9A" w:rsidRDefault="00BB4C18" w:rsidP="00BB4C18">
            <w:pPr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по утриманню житлового господарства Дніпровського району м. Києва</w:t>
            </w:r>
          </w:p>
        </w:tc>
        <w:tc>
          <w:tcPr>
            <w:tcW w:w="2126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-5,6</w:t>
            </w:r>
          </w:p>
        </w:tc>
        <w:tc>
          <w:tcPr>
            <w:tcW w:w="1542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-1,3</w:t>
            </w:r>
          </w:p>
        </w:tc>
      </w:tr>
      <w:tr w:rsidR="00BB4C18" w:rsidRPr="004A5B2C" w:rsidTr="00452913">
        <w:tc>
          <w:tcPr>
            <w:tcW w:w="6204" w:type="dxa"/>
            <w:vAlign w:val="center"/>
          </w:tcPr>
          <w:p w:rsidR="00BB4C18" w:rsidRPr="00953F9A" w:rsidRDefault="00BB4C18" w:rsidP="00BB4C18">
            <w:pPr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Київський зоологічний парк загальнодержавного значення</w:t>
            </w:r>
          </w:p>
        </w:tc>
        <w:tc>
          <w:tcPr>
            <w:tcW w:w="2126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+4,9</w:t>
            </w:r>
          </w:p>
        </w:tc>
        <w:tc>
          <w:tcPr>
            <w:tcW w:w="1542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-1,1</w:t>
            </w:r>
          </w:p>
        </w:tc>
      </w:tr>
      <w:tr w:rsidR="00BB4C18" w:rsidRPr="004A5B2C" w:rsidTr="00452913">
        <w:tc>
          <w:tcPr>
            <w:tcW w:w="6204" w:type="dxa"/>
            <w:vAlign w:val="center"/>
          </w:tcPr>
          <w:p w:rsidR="00BB4C18" w:rsidRPr="00953F9A" w:rsidRDefault="00BB4C18" w:rsidP="00BB4C18">
            <w:pPr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виконавчого органу Київської міської ради (Київської міської державної адміністрації) «Київський центр розвитку міського середовища»</w:t>
            </w:r>
          </w:p>
        </w:tc>
        <w:tc>
          <w:tcPr>
            <w:tcW w:w="2126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+0,07</w:t>
            </w:r>
          </w:p>
        </w:tc>
        <w:tc>
          <w:tcPr>
            <w:tcW w:w="1542" w:type="dxa"/>
            <w:vAlign w:val="center"/>
          </w:tcPr>
          <w:p w:rsidR="00BB4C18" w:rsidRPr="00452913" w:rsidRDefault="00BB4C18" w:rsidP="00BB4C18">
            <w:pPr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-1,1</w:t>
            </w:r>
          </w:p>
        </w:tc>
      </w:tr>
    </w:tbl>
    <w:p w:rsidR="00BB4C18" w:rsidRPr="004A5B2C" w:rsidRDefault="00BB4C18" w:rsidP="00BB4C18">
      <w:pPr>
        <w:ind w:firstLine="142"/>
        <w:rPr>
          <w:b/>
          <w:color w:val="FF0000"/>
          <w:sz w:val="27"/>
          <w:szCs w:val="27"/>
        </w:rPr>
      </w:pPr>
    </w:p>
    <w:p w:rsidR="00BB4C18" w:rsidRPr="008165AE" w:rsidRDefault="00BB4C18" w:rsidP="00BB4C18">
      <w:pPr>
        <w:ind w:firstLine="851"/>
        <w:jc w:val="both"/>
        <w:rPr>
          <w:sz w:val="28"/>
          <w:szCs w:val="28"/>
        </w:rPr>
      </w:pPr>
      <w:r w:rsidRPr="008165AE">
        <w:rPr>
          <w:sz w:val="28"/>
          <w:szCs w:val="28"/>
        </w:rPr>
        <w:t>Найбільш прибутковими серед підприємств</w:t>
      </w:r>
      <w:r>
        <w:rPr>
          <w:sz w:val="28"/>
          <w:szCs w:val="28"/>
        </w:rPr>
        <w:t>, організацій</w:t>
      </w:r>
      <w:r w:rsidRPr="008165AE">
        <w:rPr>
          <w:sz w:val="28"/>
          <w:szCs w:val="28"/>
        </w:rPr>
        <w:t xml:space="preserve"> міського підпорядкування були підприємства зазначені у таблиці 5.</w:t>
      </w:r>
    </w:p>
    <w:p w:rsidR="00BB4C18" w:rsidRPr="00BB3770" w:rsidRDefault="00BB4C18" w:rsidP="00BB4C18">
      <w:pPr>
        <w:ind w:firstLine="851"/>
        <w:jc w:val="center"/>
        <w:rPr>
          <w:b/>
          <w:sz w:val="27"/>
          <w:szCs w:val="27"/>
        </w:rPr>
      </w:pPr>
    </w:p>
    <w:p w:rsidR="00BB4C18" w:rsidRDefault="00BB4C18" w:rsidP="00BB4C18">
      <w:pPr>
        <w:ind w:firstLine="851"/>
        <w:jc w:val="right"/>
        <w:rPr>
          <w:sz w:val="28"/>
          <w:szCs w:val="28"/>
        </w:rPr>
      </w:pPr>
      <w:r w:rsidRPr="00BB3770">
        <w:rPr>
          <w:b/>
          <w:sz w:val="22"/>
          <w:szCs w:val="22"/>
        </w:rPr>
        <w:tab/>
      </w:r>
      <w:r w:rsidRPr="00BB3770">
        <w:rPr>
          <w:b/>
          <w:sz w:val="22"/>
          <w:szCs w:val="22"/>
        </w:rPr>
        <w:tab/>
      </w:r>
      <w:r w:rsidRPr="00BB3770">
        <w:rPr>
          <w:b/>
          <w:sz w:val="22"/>
          <w:szCs w:val="22"/>
        </w:rPr>
        <w:tab/>
      </w:r>
      <w:r w:rsidRPr="00BB3770">
        <w:rPr>
          <w:b/>
          <w:sz w:val="22"/>
          <w:szCs w:val="22"/>
        </w:rPr>
        <w:tab/>
      </w:r>
      <w:r w:rsidRPr="00BB3770">
        <w:rPr>
          <w:b/>
          <w:sz w:val="22"/>
          <w:szCs w:val="22"/>
        </w:rPr>
        <w:tab/>
      </w:r>
      <w:r w:rsidRPr="00BB3770">
        <w:rPr>
          <w:b/>
          <w:sz w:val="22"/>
          <w:szCs w:val="22"/>
        </w:rPr>
        <w:tab/>
      </w:r>
      <w:r w:rsidRPr="00BB3770">
        <w:rPr>
          <w:b/>
          <w:sz w:val="22"/>
          <w:szCs w:val="22"/>
        </w:rPr>
        <w:tab/>
      </w:r>
      <w:r w:rsidRPr="00BB3770">
        <w:rPr>
          <w:b/>
          <w:sz w:val="22"/>
          <w:szCs w:val="22"/>
        </w:rPr>
        <w:tab/>
      </w:r>
      <w:r w:rsidRPr="00BB3770">
        <w:rPr>
          <w:b/>
          <w:sz w:val="22"/>
          <w:szCs w:val="22"/>
        </w:rPr>
        <w:tab/>
      </w:r>
      <w:r w:rsidRPr="00BB3770">
        <w:rPr>
          <w:b/>
          <w:sz w:val="22"/>
          <w:szCs w:val="22"/>
        </w:rPr>
        <w:tab/>
      </w:r>
      <w:r w:rsidRPr="00BB3770">
        <w:rPr>
          <w:sz w:val="28"/>
          <w:szCs w:val="28"/>
        </w:rPr>
        <w:t>Таблиця</w:t>
      </w:r>
      <w:r w:rsidRPr="00BB3770">
        <w:rPr>
          <w:sz w:val="22"/>
          <w:szCs w:val="22"/>
        </w:rPr>
        <w:t xml:space="preserve"> </w:t>
      </w:r>
      <w:r w:rsidRPr="0060139B">
        <w:rPr>
          <w:sz w:val="28"/>
          <w:szCs w:val="28"/>
        </w:rPr>
        <w:t>5</w:t>
      </w:r>
    </w:p>
    <w:p w:rsidR="00953F9A" w:rsidRPr="00BB3770" w:rsidRDefault="00953F9A" w:rsidP="00BB4C18">
      <w:pPr>
        <w:ind w:firstLine="851"/>
        <w:jc w:val="right"/>
        <w:rPr>
          <w:sz w:val="22"/>
          <w:szCs w:val="22"/>
        </w:rPr>
      </w:pPr>
    </w:p>
    <w:p w:rsidR="00BB4C18" w:rsidRDefault="00BB4C18" w:rsidP="00BB4C18">
      <w:pPr>
        <w:ind w:firstLine="851"/>
        <w:jc w:val="center"/>
        <w:rPr>
          <w:b/>
          <w:sz w:val="28"/>
          <w:szCs w:val="28"/>
        </w:rPr>
      </w:pPr>
      <w:r w:rsidRPr="008165AE">
        <w:rPr>
          <w:b/>
          <w:sz w:val="28"/>
          <w:szCs w:val="28"/>
        </w:rPr>
        <w:t>Перелік підприємств</w:t>
      </w:r>
      <w:r>
        <w:rPr>
          <w:b/>
          <w:sz w:val="28"/>
          <w:szCs w:val="28"/>
        </w:rPr>
        <w:t>, організацій</w:t>
      </w:r>
      <w:r w:rsidRPr="008165AE">
        <w:rPr>
          <w:b/>
          <w:sz w:val="28"/>
          <w:szCs w:val="28"/>
        </w:rPr>
        <w:t>, які підпорядковані структурним підрозділам виконавчого органу Київ</w:t>
      </w:r>
      <w:r>
        <w:rPr>
          <w:b/>
          <w:sz w:val="28"/>
          <w:szCs w:val="28"/>
        </w:rPr>
        <w:t>ської міської ради</w:t>
      </w:r>
      <w:r w:rsidRPr="008165AE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Київської міської державної адміністрації</w:t>
      </w:r>
      <w:r w:rsidRPr="008165AE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8165AE">
        <w:rPr>
          <w:b/>
          <w:sz w:val="28"/>
          <w:szCs w:val="28"/>
        </w:rPr>
        <w:t xml:space="preserve"> та отримали найбільший обсяг </w:t>
      </w:r>
      <w:r>
        <w:rPr>
          <w:b/>
          <w:sz w:val="28"/>
          <w:szCs w:val="28"/>
        </w:rPr>
        <w:t>прибутку,</w:t>
      </w:r>
    </w:p>
    <w:p w:rsidR="00BB4C18" w:rsidRPr="008165AE" w:rsidRDefault="00BB4C18" w:rsidP="00BB4C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станом на 01.01.2019 року</w:t>
      </w:r>
      <w:r w:rsidRPr="008165AE">
        <w:rPr>
          <w:b/>
          <w:sz w:val="28"/>
          <w:szCs w:val="28"/>
        </w:rPr>
        <w:t xml:space="preserve"> </w:t>
      </w:r>
    </w:p>
    <w:p w:rsidR="00BB4C18" w:rsidRPr="00BB3770" w:rsidRDefault="00BB4C18" w:rsidP="00BB4C18">
      <w:pPr>
        <w:ind w:firstLine="851"/>
        <w:jc w:val="right"/>
        <w:rPr>
          <w:sz w:val="28"/>
          <w:szCs w:val="28"/>
        </w:rPr>
      </w:pPr>
      <w:proofErr w:type="spellStart"/>
      <w:r w:rsidRPr="00BB3770">
        <w:rPr>
          <w:sz w:val="28"/>
          <w:szCs w:val="28"/>
        </w:rPr>
        <w:t>млн</w:t>
      </w:r>
      <w:proofErr w:type="spellEnd"/>
      <w:r w:rsidRPr="00BB3770">
        <w:rPr>
          <w:sz w:val="28"/>
          <w:szCs w:val="28"/>
        </w:rPr>
        <w:t xml:space="preserve"> </w:t>
      </w:r>
      <w:proofErr w:type="spellStart"/>
      <w:r w:rsidRPr="00BB3770">
        <w:rPr>
          <w:sz w:val="28"/>
          <w:szCs w:val="28"/>
        </w:rPr>
        <w:t>грн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3"/>
        <w:gridCol w:w="2126"/>
      </w:tblGrid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firstLine="851"/>
              <w:jc w:val="center"/>
              <w:rPr>
                <w:sz w:val="26"/>
                <w:szCs w:val="26"/>
              </w:rPr>
            </w:pPr>
          </w:p>
          <w:p w:rsidR="00BB4C18" w:rsidRPr="00953F9A" w:rsidRDefault="00BB4C18" w:rsidP="00BB4C18">
            <w:pPr>
              <w:ind w:firstLine="851"/>
              <w:jc w:val="center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Назва підприємств та організацій</w:t>
            </w:r>
          </w:p>
        </w:tc>
        <w:tc>
          <w:tcPr>
            <w:tcW w:w="2126" w:type="dxa"/>
          </w:tcPr>
          <w:p w:rsidR="00BB4C18" w:rsidRPr="00953F9A" w:rsidRDefault="00BB4C18" w:rsidP="00BB4C18">
            <w:pPr>
              <w:ind w:firstLine="34"/>
              <w:jc w:val="center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Чистий прибуток у 2018 році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Міжнародний аеропорт «Київ» (Жуляни)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73,6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з питань будівництва житлових будинків «</w:t>
            </w:r>
            <w:proofErr w:type="spellStart"/>
            <w:r w:rsidRPr="00953F9A">
              <w:rPr>
                <w:sz w:val="26"/>
                <w:szCs w:val="26"/>
              </w:rPr>
              <w:t>Житлоінвестбуд-УКБ</w:t>
            </w:r>
            <w:proofErr w:type="spellEnd"/>
            <w:r w:rsidRPr="00953F9A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33,7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«Фармація»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21,9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виконавчого органу Київської міської ради (Київської міської державної адміністрації) «</w:t>
            </w:r>
            <w:proofErr w:type="spellStart"/>
            <w:r w:rsidRPr="00953F9A">
              <w:rPr>
                <w:sz w:val="26"/>
                <w:szCs w:val="26"/>
              </w:rPr>
              <w:t>Київкомунсервіс</w:t>
            </w:r>
            <w:proofErr w:type="spellEnd"/>
            <w:r w:rsidRPr="00953F9A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18,6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з утримання та експлуатації житлового фонду спеціального призначення «</w:t>
            </w:r>
            <w:proofErr w:type="spellStart"/>
            <w:r w:rsidRPr="00953F9A">
              <w:rPr>
                <w:sz w:val="26"/>
                <w:szCs w:val="26"/>
              </w:rPr>
              <w:t>Спецжитлофонд</w:t>
            </w:r>
            <w:proofErr w:type="spellEnd"/>
            <w:r w:rsidRPr="00953F9A">
              <w:rPr>
                <w:sz w:val="26"/>
                <w:szCs w:val="26"/>
              </w:rPr>
              <w:t>»</w:t>
            </w:r>
            <w:r w:rsidRPr="00953F9A">
              <w:rPr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13,2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tabs>
                <w:tab w:val="left" w:pos="142"/>
              </w:tabs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Комунальна корпорація «</w:t>
            </w:r>
            <w:proofErr w:type="spellStart"/>
            <w:r w:rsidRPr="00953F9A">
              <w:rPr>
                <w:sz w:val="26"/>
                <w:szCs w:val="26"/>
              </w:rPr>
              <w:t>Київавтодор</w:t>
            </w:r>
            <w:proofErr w:type="spellEnd"/>
            <w:r w:rsidRPr="00953F9A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9,2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«</w:t>
            </w:r>
            <w:proofErr w:type="spellStart"/>
            <w:r w:rsidRPr="00953F9A">
              <w:rPr>
                <w:sz w:val="26"/>
                <w:szCs w:val="26"/>
              </w:rPr>
              <w:t>Київжитлоспецексплуатація</w:t>
            </w:r>
            <w:proofErr w:type="spellEnd"/>
            <w:r w:rsidRPr="00953F9A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7,3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tabs>
                <w:tab w:val="left" w:pos="142"/>
              </w:tabs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«Фінансова компанія «</w:t>
            </w:r>
            <w:proofErr w:type="spellStart"/>
            <w:r w:rsidRPr="00953F9A">
              <w:rPr>
                <w:sz w:val="26"/>
                <w:szCs w:val="26"/>
              </w:rPr>
              <w:t>Житло-інвест</w:t>
            </w:r>
            <w:proofErr w:type="spellEnd"/>
            <w:r w:rsidRPr="00953F9A">
              <w:rPr>
                <w:sz w:val="26"/>
                <w:szCs w:val="26"/>
              </w:rPr>
              <w:t>» виконавчого органу Київської міської ради (Київської міс якої державної адміністрації)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6,4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«Володимирський ринок»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6,4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 xml:space="preserve">Комунальне підприємство «Міський магазин» виконавчого органу Київради (Київської міської державної адміністрації) 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6,0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 xml:space="preserve">Комунальне підприємство «Центр обслуговування споживачів </w:t>
            </w:r>
            <w:r w:rsidRPr="00953F9A">
              <w:rPr>
                <w:sz w:val="26"/>
                <w:szCs w:val="26"/>
              </w:rPr>
              <w:lastRenderedPageBreak/>
              <w:t>Шевченківського району»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lastRenderedPageBreak/>
              <w:t>4,7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lastRenderedPageBreak/>
              <w:t>Комунальне підприємство з експлуатації і ремонту житлового фонду «Житло-сервіс»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3,7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«</w:t>
            </w:r>
            <w:proofErr w:type="spellStart"/>
            <w:r w:rsidRPr="00953F9A">
              <w:rPr>
                <w:sz w:val="26"/>
                <w:szCs w:val="26"/>
              </w:rPr>
              <w:t>Київблагоустрій</w:t>
            </w:r>
            <w:proofErr w:type="spellEnd"/>
            <w:r w:rsidRPr="00953F9A">
              <w:rPr>
                <w:sz w:val="26"/>
                <w:szCs w:val="26"/>
              </w:rPr>
              <w:t>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3,6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виконавчого органу Київської міської ради (Київської міської державної адміністрації) «</w:t>
            </w:r>
            <w:proofErr w:type="spellStart"/>
            <w:r w:rsidRPr="00953F9A">
              <w:rPr>
                <w:sz w:val="26"/>
                <w:szCs w:val="26"/>
              </w:rPr>
              <w:t>Київреклама</w:t>
            </w:r>
            <w:proofErr w:type="spellEnd"/>
            <w:r w:rsidRPr="00953F9A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3,5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«</w:t>
            </w:r>
            <w:proofErr w:type="spellStart"/>
            <w:r w:rsidRPr="00953F9A">
              <w:rPr>
                <w:sz w:val="26"/>
                <w:szCs w:val="26"/>
              </w:rPr>
              <w:t>Київтранспарксервіс</w:t>
            </w:r>
            <w:proofErr w:type="spellEnd"/>
            <w:r w:rsidRPr="00953F9A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3,4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«Головний інформаційн</w:t>
            </w:r>
            <w:bookmarkStart w:id="0" w:name="_GoBack"/>
            <w:bookmarkEnd w:id="0"/>
            <w:r w:rsidRPr="00953F9A">
              <w:rPr>
                <w:sz w:val="26"/>
                <w:szCs w:val="26"/>
              </w:rPr>
              <w:t>о-обчислювальний центр»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2,9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 xml:space="preserve">Комунальне підприємство «Шляхово-експлуатаційне управління по ремонту та утриманню автомобільних шляхів та споруд на них Печерського району» м. Києва 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2,4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«Бессарабський ринок»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2,4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виконавчого органу Київської міської ради (Київської міської державної адміністрації) по охороні, утриманню та експлуатації земель водного фонду  м. Києва «Плесо»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2,0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«Святошинське лісопаркове господарство»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1,7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електромереж зовнішнього освітлення м. Києва «</w:t>
            </w:r>
            <w:proofErr w:type="spellStart"/>
            <w:r w:rsidRPr="00953F9A">
              <w:rPr>
                <w:sz w:val="26"/>
                <w:szCs w:val="26"/>
              </w:rPr>
              <w:t>Київміськсвітло</w:t>
            </w:r>
            <w:proofErr w:type="spellEnd"/>
            <w:r w:rsidRPr="00953F9A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1,6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 xml:space="preserve">Комунальне підприємство по утриманню зелених насаджень </w:t>
            </w:r>
            <w:proofErr w:type="spellStart"/>
            <w:r w:rsidRPr="00953F9A">
              <w:rPr>
                <w:sz w:val="26"/>
                <w:szCs w:val="26"/>
              </w:rPr>
              <w:t>Солом</w:t>
            </w:r>
            <w:proofErr w:type="spellEnd"/>
            <w:r w:rsidRPr="00953F9A">
              <w:rPr>
                <w:sz w:val="26"/>
                <w:szCs w:val="26"/>
                <w:lang w:val="ru-RU"/>
              </w:rPr>
              <w:t>’</w:t>
            </w:r>
            <w:proofErr w:type="spellStart"/>
            <w:r w:rsidRPr="00953F9A">
              <w:rPr>
                <w:sz w:val="26"/>
                <w:szCs w:val="26"/>
              </w:rPr>
              <w:t>янського</w:t>
            </w:r>
            <w:proofErr w:type="spellEnd"/>
            <w:r w:rsidRPr="00953F9A">
              <w:rPr>
                <w:sz w:val="26"/>
                <w:szCs w:val="26"/>
              </w:rPr>
              <w:t xml:space="preserve"> району м. Києва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1,5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«Автотранспортне підприємство виконавчого органу Київської міської ради (Київської міської державної адміністрації)»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1,3</w:t>
            </w:r>
          </w:p>
        </w:tc>
      </w:tr>
      <w:tr w:rsidR="00BB4C18" w:rsidRPr="004A5B2C" w:rsidTr="00953F9A">
        <w:tc>
          <w:tcPr>
            <w:tcW w:w="7763" w:type="dxa"/>
          </w:tcPr>
          <w:p w:rsidR="00BB4C18" w:rsidRPr="00953F9A" w:rsidRDefault="00BB4C18" w:rsidP="00BB4C18">
            <w:pPr>
              <w:ind w:left="142"/>
              <w:jc w:val="both"/>
              <w:rPr>
                <w:sz w:val="26"/>
                <w:szCs w:val="26"/>
              </w:rPr>
            </w:pPr>
            <w:r w:rsidRPr="00953F9A">
              <w:rPr>
                <w:sz w:val="26"/>
                <w:szCs w:val="26"/>
              </w:rPr>
              <w:t>Комунальне підприємство «Дарницьке лісопаркове господарство»</w:t>
            </w:r>
          </w:p>
        </w:tc>
        <w:tc>
          <w:tcPr>
            <w:tcW w:w="2126" w:type="dxa"/>
          </w:tcPr>
          <w:p w:rsidR="00BB4C18" w:rsidRPr="00452913" w:rsidRDefault="00BB4C18" w:rsidP="00BB4C18">
            <w:pPr>
              <w:ind w:firstLine="34"/>
              <w:jc w:val="center"/>
              <w:rPr>
                <w:sz w:val="25"/>
                <w:szCs w:val="25"/>
              </w:rPr>
            </w:pPr>
            <w:r w:rsidRPr="00452913">
              <w:rPr>
                <w:sz w:val="25"/>
                <w:szCs w:val="25"/>
              </w:rPr>
              <w:t>1,2</w:t>
            </w:r>
          </w:p>
        </w:tc>
      </w:tr>
    </w:tbl>
    <w:p w:rsidR="00BB4C18" w:rsidRPr="004A5B2C" w:rsidRDefault="00BB4C18" w:rsidP="00BB4C18">
      <w:pPr>
        <w:ind w:firstLine="851"/>
        <w:jc w:val="both"/>
        <w:rPr>
          <w:color w:val="FF0000"/>
          <w:sz w:val="28"/>
          <w:szCs w:val="28"/>
        </w:rPr>
      </w:pPr>
    </w:p>
    <w:p w:rsidR="00BB4C18" w:rsidRPr="00874D33" w:rsidRDefault="00BB4C18" w:rsidP="00BB4C18">
      <w:pPr>
        <w:ind w:firstLine="851"/>
        <w:jc w:val="both"/>
        <w:rPr>
          <w:sz w:val="28"/>
          <w:szCs w:val="28"/>
        </w:rPr>
      </w:pPr>
      <w:r w:rsidRPr="00690AD1">
        <w:rPr>
          <w:sz w:val="28"/>
          <w:szCs w:val="28"/>
        </w:rPr>
        <w:t>Із названого загального числа госпрозрахункових комунальних підприємств, установ, організацій територіальної громади міста Києва (384)</w:t>
      </w:r>
      <w:r w:rsidRPr="00690AD1">
        <w:rPr>
          <w:b/>
          <w:sz w:val="28"/>
          <w:szCs w:val="28"/>
        </w:rPr>
        <w:t xml:space="preserve"> у сфері управління районних в місті Києві державних адміністрацій, станом на 01.01.2019 року, перебувало 126 підприємств, госпрозрахункових організацій та установ,</w:t>
      </w:r>
      <w:r w:rsidRPr="00E371DB">
        <w:rPr>
          <w:sz w:val="28"/>
          <w:szCs w:val="28"/>
        </w:rPr>
        <w:t xml:space="preserve"> середня кількість працівників </w:t>
      </w:r>
      <w:r>
        <w:rPr>
          <w:sz w:val="28"/>
          <w:szCs w:val="28"/>
        </w:rPr>
        <w:t>у</w:t>
      </w:r>
      <w:r w:rsidRPr="00E371DB">
        <w:rPr>
          <w:sz w:val="28"/>
          <w:szCs w:val="28"/>
        </w:rPr>
        <w:t xml:space="preserve"> грудн</w:t>
      </w:r>
      <w:r>
        <w:rPr>
          <w:sz w:val="28"/>
          <w:szCs w:val="28"/>
        </w:rPr>
        <w:t>і</w:t>
      </w:r>
      <w:r w:rsidRPr="00E371DB">
        <w:rPr>
          <w:sz w:val="28"/>
          <w:szCs w:val="28"/>
        </w:rPr>
        <w:t xml:space="preserve"> 2018 року становила 23,5 тис. осіб.</w:t>
      </w:r>
      <w:r w:rsidRPr="00E371DB">
        <w:rPr>
          <w:color w:val="FF0000"/>
          <w:sz w:val="28"/>
          <w:szCs w:val="28"/>
        </w:rPr>
        <w:t xml:space="preserve"> </w:t>
      </w:r>
      <w:r w:rsidRPr="003E3B88">
        <w:rPr>
          <w:sz w:val="28"/>
          <w:szCs w:val="28"/>
        </w:rPr>
        <w:t xml:space="preserve">За звітний рік цими суб’єктами </w:t>
      </w:r>
      <w:r w:rsidRPr="00E371DB">
        <w:rPr>
          <w:sz w:val="28"/>
          <w:szCs w:val="28"/>
        </w:rPr>
        <w:t>отримано сукупних доходів</w:t>
      </w:r>
      <w:r w:rsidRPr="003E3B88">
        <w:rPr>
          <w:sz w:val="28"/>
          <w:szCs w:val="28"/>
        </w:rPr>
        <w:t xml:space="preserve"> (</w:t>
      </w:r>
      <w:r w:rsidRPr="00874D33">
        <w:rPr>
          <w:sz w:val="28"/>
          <w:szCs w:val="28"/>
        </w:rPr>
        <w:t xml:space="preserve">без ПДВ) на суму 6,6 </w:t>
      </w:r>
      <w:proofErr w:type="spellStart"/>
      <w:r w:rsidRPr="00874D33">
        <w:rPr>
          <w:sz w:val="28"/>
          <w:szCs w:val="28"/>
        </w:rPr>
        <w:t>млрд</w:t>
      </w:r>
      <w:proofErr w:type="spellEnd"/>
      <w:r w:rsidRPr="00874D33">
        <w:rPr>
          <w:sz w:val="28"/>
          <w:szCs w:val="28"/>
        </w:rPr>
        <w:t xml:space="preserve"> </w:t>
      </w:r>
      <w:proofErr w:type="spellStart"/>
      <w:r w:rsidRPr="00874D33">
        <w:rPr>
          <w:sz w:val="28"/>
          <w:szCs w:val="28"/>
        </w:rPr>
        <w:t>грн</w:t>
      </w:r>
      <w:proofErr w:type="spellEnd"/>
      <w:r w:rsidRPr="00874D33">
        <w:rPr>
          <w:sz w:val="28"/>
          <w:szCs w:val="28"/>
        </w:rPr>
        <w:t>, що на 7,5 % більше, ніж отримано у 2017 році.</w:t>
      </w:r>
      <w:r w:rsidRPr="004A5B2C">
        <w:rPr>
          <w:color w:val="FF0000"/>
          <w:sz w:val="28"/>
          <w:szCs w:val="28"/>
        </w:rPr>
        <w:t xml:space="preserve"> </w:t>
      </w:r>
      <w:r w:rsidRPr="00874D33">
        <w:rPr>
          <w:sz w:val="28"/>
          <w:szCs w:val="28"/>
        </w:rPr>
        <w:t xml:space="preserve">В загальному обсязі доходу чистий дохід (виручка) від реалізації продукції (товарів, робіт, послуг) становив 4,8 </w:t>
      </w:r>
      <w:proofErr w:type="spellStart"/>
      <w:r w:rsidRPr="00874D33">
        <w:rPr>
          <w:sz w:val="28"/>
          <w:szCs w:val="28"/>
        </w:rPr>
        <w:t>млрд</w:t>
      </w:r>
      <w:proofErr w:type="spellEnd"/>
      <w:r w:rsidRPr="00874D33">
        <w:rPr>
          <w:sz w:val="28"/>
          <w:szCs w:val="28"/>
        </w:rPr>
        <w:t xml:space="preserve"> </w:t>
      </w:r>
      <w:proofErr w:type="spellStart"/>
      <w:r w:rsidRPr="00874D33">
        <w:rPr>
          <w:sz w:val="28"/>
          <w:szCs w:val="28"/>
        </w:rPr>
        <w:t>грн</w:t>
      </w:r>
      <w:proofErr w:type="spellEnd"/>
      <w:r w:rsidRPr="00874D33">
        <w:rPr>
          <w:sz w:val="28"/>
          <w:szCs w:val="28"/>
        </w:rPr>
        <w:t>, або 72,0 % (у 2017 році питома вага чистого доходу від реалізації в сукупному доході становила 65,0 %).</w:t>
      </w:r>
      <w:r w:rsidRPr="004A5B2C">
        <w:rPr>
          <w:color w:val="FF0000"/>
          <w:sz w:val="28"/>
          <w:szCs w:val="28"/>
        </w:rPr>
        <w:t xml:space="preserve"> </w:t>
      </w:r>
    </w:p>
    <w:p w:rsidR="00BB4C18" w:rsidRPr="004A5B2C" w:rsidRDefault="00BB4C18" w:rsidP="00BB4C18">
      <w:pPr>
        <w:ind w:firstLine="851"/>
        <w:jc w:val="both"/>
        <w:rPr>
          <w:color w:val="FF0000"/>
          <w:sz w:val="28"/>
          <w:szCs w:val="28"/>
        </w:rPr>
      </w:pPr>
      <w:r w:rsidRPr="00874D33">
        <w:rPr>
          <w:sz w:val="28"/>
          <w:szCs w:val="28"/>
        </w:rPr>
        <w:t>Загальна сума чистого прибутку цих підприємств</w:t>
      </w:r>
      <w:r>
        <w:rPr>
          <w:sz w:val="28"/>
          <w:szCs w:val="28"/>
        </w:rPr>
        <w:t>, установ, організацій</w:t>
      </w:r>
      <w:r w:rsidRPr="00874D33">
        <w:rPr>
          <w:sz w:val="28"/>
          <w:szCs w:val="28"/>
        </w:rPr>
        <w:t xml:space="preserve"> у 2018 році склала 32,5 </w:t>
      </w:r>
      <w:proofErr w:type="spellStart"/>
      <w:r w:rsidRPr="00874D33">
        <w:rPr>
          <w:sz w:val="28"/>
          <w:szCs w:val="28"/>
        </w:rPr>
        <w:t>млн</w:t>
      </w:r>
      <w:proofErr w:type="spellEnd"/>
      <w:r w:rsidRPr="00874D33">
        <w:rPr>
          <w:sz w:val="28"/>
          <w:szCs w:val="28"/>
        </w:rPr>
        <w:t xml:space="preserve"> </w:t>
      </w:r>
      <w:proofErr w:type="spellStart"/>
      <w:r w:rsidRPr="00874D33">
        <w:rPr>
          <w:sz w:val="28"/>
          <w:szCs w:val="28"/>
        </w:rPr>
        <w:t>грн</w:t>
      </w:r>
      <w:proofErr w:type="spellEnd"/>
      <w:r w:rsidRPr="00874D33">
        <w:rPr>
          <w:sz w:val="28"/>
          <w:szCs w:val="28"/>
        </w:rPr>
        <w:t xml:space="preserve">  (кількість прибуткових підприємств – 31  (додаток 5)</w:t>
      </w:r>
      <w:r>
        <w:rPr>
          <w:sz w:val="28"/>
          <w:szCs w:val="28"/>
        </w:rPr>
        <w:t>)</w:t>
      </w:r>
      <w:r w:rsidRPr="00874D33">
        <w:rPr>
          <w:sz w:val="28"/>
          <w:szCs w:val="28"/>
        </w:rPr>
        <w:t xml:space="preserve">, загальні збитки – 2,4 </w:t>
      </w:r>
      <w:proofErr w:type="spellStart"/>
      <w:r w:rsidRPr="00874D33">
        <w:rPr>
          <w:sz w:val="28"/>
          <w:szCs w:val="28"/>
        </w:rPr>
        <w:t>млн</w:t>
      </w:r>
      <w:proofErr w:type="spellEnd"/>
      <w:r w:rsidRPr="00874D33">
        <w:rPr>
          <w:sz w:val="28"/>
          <w:szCs w:val="28"/>
        </w:rPr>
        <w:t xml:space="preserve"> </w:t>
      </w:r>
      <w:proofErr w:type="spellStart"/>
      <w:r w:rsidRPr="00874D33">
        <w:rPr>
          <w:sz w:val="28"/>
          <w:szCs w:val="28"/>
        </w:rPr>
        <w:t>грн</w:t>
      </w:r>
      <w:proofErr w:type="spellEnd"/>
      <w:r w:rsidRPr="00874D33">
        <w:rPr>
          <w:sz w:val="28"/>
          <w:szCs w:val="28"/>
        </w:rPr>
        <w:t xml:space="preserve"> (у 2017 році їх прибуток становив 64,0 </w:t>
      </w:r>
      <w:proofErr w:type="spellStart"/>
      <w:r w:rsidRPr="00874D33">
        <w:rPr>
          <w:sz w:val="28"/>
          <w:szCs w:val="28"/>
        </w:rPr>
        <w:t>млн</w:t>
      </w:r>
      <w:proofErr w:type="spellEnd"/>
      <w:r w:rsidRPr="00874D33">
        <w:rPr>
          <w:sz w:val="28"/>
          <w:szCs w:val="28"/>
        </w:rPr>
        <w:t xml:space="preserve"> </w:t>
      </w:r>
      <w:proofErr w:type="spellStart"/>
      <w:r w:rsidRPr="00874D33">
        <w:rPr>
          <w:sz w:val="28"/>
          <w:szCs w:val="28"/>
        </w:rPr>
        <w:t>грн</w:t>
      </w:r>
      <w:proofErr w:type="spellEnd"/>
      <w:r w:rsidRPr="00874D33">
        <w:rPr>
          <w:sz w:val="28"/>
          <w:szCs w:val="28"/>
        </w:rPr>
        <w:t xml:space="preserve">, збитки 3,8 </w:t>
      </w:r>
      <w:proofErr w:type="spellStart"/>
      <w:r w:rsidRPr="00874D33">
        <w:rPr>
          <w:sz w:val="28"/>
          <w:szCs w:val="28"/>
        </w:rPr>
        <w:t>млн</w:t>
      </w:r>
      <w:proofErr w:type="spellEnd"/>
      <w:r w:rsidRPr="00874D33">
        <w:rPr>
          <w:sz w:val="28"/>
          <w:szCs w:val="28"/>
        </w:rPr>
        <w:t xml:space="preserve"> </w:t>
      </w:r>
      <w:proofErr w:type="spellStart"/>
      <w:r w:rsidRPr="00874D33">
        <w:rPr>
          <w:sz w:val="28"/>
          <w:szCs w:val="28"/>
        </w:rPr>
        <w:t>грн</w:t>
      </w:r>
      <w:proofErr w:type="spellEnd"/>
      <w:r w:rsidRPr="00874D33">
        <w:rPr>
          <w:sz w:val="28"/>
          <w:szCs w:val="28"/>
        </w:rPr>
        <w:t>).</w:t>
      </w:r>
      <w:r w:rsidRPr="004A5B2C">
        <w:rPr>
          <w:color w:val="FF0000"/>
          <w:sz w:val="28"/>
          <w:szCs w:val="28"/>
        </w:rPr>
        <w:t xml:space="preserve"> </w:t>
      </w:r>
    </w:p>
    <w:p w:rsidR="00BB4C18" w:rsidRPr="004A5B2C" w:rsidRDefault="00BB4C18" w:rsidP="00BB4C18">
      <w:pPr>
        <w:ind w:firstLine="851"/>
        <w:jc w:val="both"/>
        <w:rPr>
          <w:color w:val="FF0000"/>
          <w:sz w:val="28"/>
          <w:szCs w:val="28"/>
        </w:rPr>
      </w:pPr>
      <w:r w:rsidRPr="00830CA0">
        <w:rPr>
          <w:sz w:val="28"/>
          <w:szCs w:val="28"/>
        </w:rPr>
        <w:lastRenderedPageBreak/>
        <w:t xml:space="preserve">Збитковими були 6 підприємств комунальної власності, </w:t>
      </w:r>
      <w:r>
        <w:rPr>
          <w:sz w:val="28"/>
          <w:szCs w:val="28"/>
        </w:rPr>
        <w:t xml:space="preserve">які </w:t>
      </w:r>
      <w:r w:rsidRPr="00830CA0">
        <w:rPr>
          <w:sz w:val="28"/>
          <w:szCs w:val="28"/>
        </w:rPr>
        <w:t xml:space="preserve">передані до сфери управління </w:t>
      </w:r>
      <w:r>
        <w:rPr>
          <w:sz w:val="28"/>
          <w:szCs w:val="28"/>
        </w:rPr>
        <w:t>районних в місті Києві державних адміністрацій</w:t>
      </w:r>
      <w:r w:rsidRPr="00830CA0">
        <w:rPr>
          <w:sz w:val="28"/>
          <w:szCs w:val="28"/>
        </w:rPr>
        <w:t xml:space="preserve"> (додаток 6). Окрім того, 49 підприємств отримали нульовий фінансовий результат</w:t>
      </w:r>
      <w:r>
        <w:rPr>
          <w:sz w:val="28"/>
          <w:szCs w:val="28"/>
        </w:rPr>
        <w:t xml:space="preserve">               </w:t>
      </w:r>
      <w:r w:rsidRPr="00830CA0">
        <w:rPr>
          <w:sz w:val="28"/>
          <w:szCs w:val="28"/>
        </w:rPr>
        <w:t xml:space="preserve"> (додаток 7).</w:t>
      </w:r>
    </w:p>
    <w:p w:rsidR="00BB4C18" w:rsidRPr="004A5B2C" w:rsidRDefault="00BB4C18" w:rsidP="00BB4C18">
      <w:pPr>
        <w:ind w:firstLine="851"/>
        <w:jc w:val="both"/>
        <w:rPr>
          <w:color w:val="FF0000"/>
          <w:sz w:val="28"/>
          <w:szCs w:val="28"/>
        </w:rPr>
      </w:pPr>
      <w:r w:rsidRPr="00A249FF">
        <w:rPr>
          <w:sz w:val="28"/>
          <w:szCs w:val="28"/>
        </w:rPr>
        <w:t>Слід зазначити, що з 126 суб’єктів господарювання районного підпорядкування</w:t>
      </w:r>
      <w:r w:rsidRPr="008072A7">
        <w:rPr>
          <w:color w:val="FF0000"/>
          <w:sz w:val="28"/>
          <w:szCs w:val="28"/>
        </w:rPr>
        <w:t xml:space="preserve"> </w:t>
      </w:r>
      <w:r w:rsidRPr="00AB6FB7">
        <w:rPr>
          <w:sz w:val="28"/>
          <w:szCs w:val="28"/>
        </w:rPr>
        <w:t>37 підприємств не звітують та перебувають в стадії припинення за рішенням власника, 3 - не звітують, при цьому не перебувають в ста</w:t>
      </w:r>
      <w:r>
        <w:rPr>
          <w:sz w:val="28"/>
          <w:szCs w:val="28"/>
        </w:rPr>
        <w:t>дії</w:t>
      </w:r>
      <w:r w:rsidRPr="00AB6FB7">
        <w:rPr>
          <w:sz w:val="28"/>
          <w:szCs w:val="28"/>
        </w:rPr>
        <w:t xml:space="preserve"> припинення за рішенням власника (додаток 8).</w:t>
      </w:r>
    </w:p>
    <w:p w:rsidR="00BB4C18" w:rsidRPr="004A5B2C" w:rsidRDefault="00BB4C18" w:rsidP="00BB4C18">
      <w:pPr>
        <w:ind w:firstLine="851"/>
        <w:jc w:val="both"/>
        <w:rPr>
          <w:color w:val="FF0000"/>
          <w:sz w:val="28"/>
          <w:szCs w:val="28"/>
        </w:rPr>
      </w:pPr>
      <w:r w:rsidRPr="00AB6FB7">
        <w:rPr>
          <w:sz w:val="28"/>
          <w:szCs w:val="28"/>
        </w:rPr>
        <w:t>У цілому підприємствами, організаціями, установами комунальної власності територіальної громади м</w:t>
      </w:r>
      <w:r>
        <w:rPr>
          <w:sz w:val="28"/>
          <w:szCs w:val="28"/>
        </w:rPr>
        <w:t>іста</w:t>
      </w:r>
      <w:r w:rsidRPr="00AB6FB7">
        <w:rPr>
          <w:sz w:val="28"/>
          <w:szCs w:val="28"/>
        </w:rPr>
        <w:t xml:space="preserve"> Києва у 2018 році отримано чистого прибутку</w:t>
      </w:r>
      <w:r w:rsidRPr="004A5B2C">
        <w:rPr>
          <w:color w:val="FF0000"/>
          <w:sz w:val="28"/>
          <w:szCs w:val="28"/>
        </w:rPr>
        <w:t xml:space="preserve"> </w:t>
      </w:r>
      <w:r w:rsidRPr="00AB6FB7">
        <w:rPr>
          <w:sz w:val="28"/>
          <w:szCs w:val="28"/>
        </w:rPr>
        <w:t xml:space="preserve">в сумі </w:t>
      </w:r>
      <w:r>
        <w:rPr>
          <w:sz w:val="28"/>
          <w:szCs w:val="28"/>
        </w:rPr>
        <w:t>287,9</w:t>
      </w:r>
      <w:r w:rsidRPr="00AB6FB7">
        <w:rPr>
          <w:sz w:val="28"/>
          <w:szCs w:val="28"/>
        </w:rPr>
        <w:t xml:space="preserve"> </w:t>
      </w:r>
      <w:proofErr w:type="spellStart"/>
      <w:r w:rsidRPr="00AB6FB7">
        <w:rPr>
          <w:sz w:val="28"/>
          <w:szCs w:val="28"/>
        </w:rPr>
        <w:t>млн</w:t>
      </w:r>
      <w:proofErr w:type="spellEnd"/>
      <w:r w:rsidRPr="00AB6FB7">
        <w:rPr>
          <w:sz w:val="28"/>
          <w:szCs w:val="28"/>
        </w:rPr>
        <w:t xml:space="preserve"> </w:t>
      </w:r>
      <w:proofErr w:type="spellStart"/>
      <w:r w:rsidRPr="00AB6FB7">
        <w:rPr>
          <w:sz w:val="28"/>
          <w:szCs w:val="28"/>
        </w:rPr>
        <w:t>грн</w:t>
      </w:r>
      <w:proofErr w:type="spellEnd"/>
      <w:r w:rsidRPr="00AB6FB7">
        <w:rPr>
          <w:sz w:val="28"/>
          <w:szCs w:val="28"/>
        </w:rPr>
        <w:t xml:space="preserve"> та збитків у сумі </w:t>
      </w:r>
      <w:r>
        <w:rPr>
          <w:sz w:val="28"/>
          <w:szCs w:val="28"/>
        </w:rPr>
        <w:t>1 195,4</w:t>
      </w:r>
      <w:r w:rsidRPr="00AB6FB7">
        <w:rPr>
          <w:sz w:val="28"/>
          <w:szCs w:val="28"/>
        </w:rPr>
        <w:t xml:space="preserve"> </w:t>
      </w:r>
      <w:proofErr w:type="spellStart"/>
      <w:r w:rsidRPr="00AB6FB7">
        <w:rPr>
          <w:sz w:val="28"/>
          <w:szCs w:val="28"/>
        </w:rPr>
        <w:t>млн</w:t>
      </w:r>
      <w:proofErr w:type="spellEnd"/>
      <w:r w:rsidRPr="00AB6FB7">
        <w:rPr>
          <w:sz w:val="28"/>
          <w:szCs w:val="28"/>
        </w:rPr>
        <w:t xml:space="preserve"> </w:t>
      </w:r>
      <w:proofErr w:type="spellStart"/>
      <w:r w:rsidRPr="00AB6FB7">
        <w:rPr>
          <w:sz w:val="28"/>
          <w:szCs w:val="28"/>
        </w:rPr>
        <w:t>грн</w:t>
      </w:r>
      <w:proofErr w:type="spellEnd"/>
      <w:r w:rsidRPr="004A5B2C">
        <w:rPr>
          <w:color w:val="FF0000"/>
          <w:sz w:val="28"/>
          <w:szCs w:val="28"/>
        </w:rPr>
        <w:t xml:space="preserve">  </w:t>
      </w:r>
      <w:r w:rsidRPr="00AB6FB7">
        <w:rPr>
          <w:sz w:val="28"/>
          <w:szCs w:val="28"/>
        </w:rPr>
        <w:t>(таблиця 3).</w:t>
      </w:r>
    </w:p>
    <w:p w:rsidR="00BB4C18" w:rsidRPr="00DF0525" w:rsidRDefault="00BB4C18" w:rsidP="00BB4C18">
      <w:pPr>
        <w:ind w:firstLine="851"/>
        <w:jc w:val="both"/>
        <w:rPr>
          <w:sz w:val="28"/>
          <w:szCs w:val="28"/>
        </w:rPr>
      </w:pPr>
      <w:r w:rsidRPr="00DF0525">
        <w:rPr>
          <w:sz w:val="28"/>
          <w:szCs w:val="28"/>
        </w:rPr>
        <w:t>Річні фінансові плани на 2018 рік затверджено по 270 комунальним підприємствам</w:t>
      </w:r>
      <w:r>
        <w:rPr>
          <w:sz w:val="28"/>
          <w:szCs w:val="28"/>
        </w:rPr>
        <w:t>, установам, організаціям</w:t>
      </w:r>
      <w:r w:rsidRPr="00DF0525">
        <w:rPr>
          <w:sz w:val="28"/>
          <w:szCs w:val="28"/>
        </w:rPr>
        <w:t xml:space="preserve"> (в т. ч. 193 – міського підпорядкування, 77 – районного підпорядкування).     </w:t>
      </w:r>
    </w:p>
    <w:p w:rsidR="00BB4C18" w:rsidRDefault="00BB4C18" w:rsidP="00BB4C18">
      <w:pPr>
        <w:ind w:firstLine="851"/>
        <w:jc w:val="both"/>
        <w:rPr>
          <w:sz w:val="28"/>
          <w:szCs w:val="28"/>
        </w:rPr>
      </w:pPr>
      <w:r w:rsidRPr="00912A06">
        <w:rPr>
          <w:sz w:val="28"/>
          <w:szCs w:val="28"/>
        </w:rPr>
        <w:t>Як випливає з таблиці 6, вказаними суб’єктами господарювання                       за 2018 рік заплановано отримати сукупних доходів в сумі 26 </w:t>
      </w:r>
      <w:r>
        <w:rPr>
          <w:sz w:val="28"/>
          <w:szCs w:val="28"/>
        </w:rPr>
        <w:t>109</w:t>
      </w:r>
      <w:r w:rsidRPr="00912A06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912A06">
        <w:rPr>
          <w:b/>
          <w:sz w:val="22"/>
          <w:szCs w:val="22"/>
        </w:rPr>
        <w:t xml:space="preserve"> </w:t>
      </w:r>
      <w:proofErr w:type="spellStart"/>
      <w:r w:rsidRPr="00912A06">
        <w:rPr>
          <w:sz w:val="28"/>
          <w:szCs w:val="28"/>
        </w:rPr>
        <w:t>млн</w:t>
      </w:r>
      <w:proofErr w:type="spellEnd"/>
      <w:r w:rsidRPr="00912A06">
        <w:rPr>
          <w:sz w:val="28"/>
          <w:szCs w:val="28"/>
        </w:rPr>
        <w:t xml:space="preserve"> </w:t>
      </w:r>
      <w:proofErr w:type="spellStart"/>
      <w:r w:rsidRPr="00912A06">
        <w:rPr>
          <w:sz w:val="28"/>
          <w:szCs w:val="28"/>
        </w:rPr>
        <w:t>грн</w:t>
      </w:r>
      <w:proofErr w:type="spellEnd"/>
      <w:r w:rsidRPr="00912A06">
        <w:rPr>
          <w:sz w:val="28"/>
          <w:szCs w:val="28"/>
        </w:rPr>
        <w:t>, фактично отримано 27 545,1</w:t>
      </w:r>
      <w:r w:rsidRPr="00912A06">
        <w:rPr>
          <w:b/>
          <w:sz w:val="22"/>
          <w:szCs w:val="22"/>
        </w:rPr>
        <w:t xml:space="preserve"> </w:t>
      </w:r>
      <w:proofErr w:type="spellStart"/>
      <w:r w:rsidRPr="00912A06">
        <w:rPr>
          <w:sz w:val="28"/>
          <w:szCs w:val="28"/>
        </w:rPr>
        <w:t>млн</w:t>
      </w:r>
      <w:proofErr w:type="spellEnd"/>
      <w:r w:rsidRPr="00912A06">
        <w:rPr>
          <w:sz w:val="28"/>
          <w:szCs w:val="28"/>
        </w:rPr>
        <w:t xml:space="preserve"> </w:t>
      </w:r>
      <w:proofErr w:type="spellStart"/>
      <w:r w:rsidRPr="00912A06">
        <w:rPr>
          <w:sz w:val="28"/>
          <w:szCs w:val="28"/>
        </w:rPr>
        <w:t>грн</w:t>
      </w:r>
      <w:proofErr w:type="spellEnd"/>
      <w:r w:rsidRPr="00912A06">
        <w:rPr>
          <w:sz w:val="28"/>
          <w:szCs w:val="28"/>
        </w:rPr>
        <w:t>,</w:t>
      </w:r>
      <w:r w:rsidRPr="004A5B2C">
        <w:rPr>
          <w:color w:val="FF0000"/>
          <w:sz w:val="28"/>
          <w:szCs w:val="28"/>
        </w:rPr>
        <w:t xml:space="preserve"> </w:t>
      </w:r>
      <w:r w:rsidRPr="00912A06">
        <w:rPr>
          <w:sz w:val="28"/>
          <w:szCs w:val="28"/>
        </w:rPr>
        <w:t>що більше на 5,</w:t>
      </w:r>
      <w:r>
        <w:rPr>
          <w:sz w:val="28"/>
          <w:szCs w:val="28"/>
        </w:rPr>
        <w:t>5</w:t>
      </w:r>
      <w:r w:rsidRPr="00912A06">
        <w:rPr>
          <w:sz w:val="28"/>
          <w:szCs w:val="28"/>
        </w:rPr>
        <w:t xml:space="preserve"> %. При цьому фактично понесені</w:t>
      </w:r>
      <w:r w:rsidRPr="004A5B2C">
        <w:rPr>
          <w:color w:val="FF0000"/>
          <w:sz w:val="28"/>
          <w:szCs w:val="28"/>
        </w:rPr>
        <w:t xml:space="preserve"> </w:t>
      </w:r>
      <w:r w:rsidRPr="00912A06">
        <w:rPr>
          <w:sz w:val="28"/>
          <w:szCs w:val="28"/>
        </w:rPr>
        <w:t>сукупні витрати в розмірі 28 452,6</w:t>
      </w:r>
      <w:r w:rsidRPr="00912A06">
        <w:rPr>
          <w:b/>
          <w:sz w:val="22"/>
          <w:szCs w:val="22"/>
        </w:rPr>
        <w:t xml:space="preserve"> </w:t>
      </w:r>
      <w:proofErr w:type="spellStart"/>
      <w:r w:rsidRPr="00912A06">
        <w:rPr>
          <w:sz w:val="28"/>
          <w:szCs w:val="28"/>
        </w:rPr>
        <w:t>млн</w:t>
      </w:r>
      <w:proofErr w:type="spellEnd"/>
      <w:r w:rsidRPr="00912A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, що</w:t>
      </w:r>
      <w:r w:rsidRPr="004A5B2C">
        <w:rPr>
          <w:color w:val="FF0000"/>
          <w:sz w:val="28"/>
          <w:szCs w:val="28"/>
        </w:rPr>
        <w:t xml:space="preserve"> </w:t>
      </w:r>
      <w:r w:rsidRPr="00912A06">
        <w:rPr>
          <w:sz w:val="28"/>
          <w:szCs w:val="28"/>
        </w:rPr>
        <w:t>на 0,7 % більше,</w:t>
      </w:r>
      <w:r w:rsidRPr="004A5B2C">
        <w:rPr>
          <w:color w:val="FF0000"/>
          <w:sz w:val="28"/>
          <w:szCs w:val="28"/>
        </w:rPr>
        <w:t xml:space="preserve"> </w:t>
      </w:r>
      <w:r w:rsidRPr="00912A06">
        <w:rPr>
          <w:sz w:val="28"/>
          <w:szCs w:val="28"/>
        </w:rPr>
        <w:t xml:space="preserve">ніж передбачалося їх фінансовими планами. При запланованому сукупному прибутку в розмірі </w:t>
      </w:r>
      <w:r>
        <w:rPr>
          <w:sz w:val="28"/>
          <w:szCs w:val="28"/>
        </w:rPr>
        <w:t>157,0</w:t>
      </w:r>
      <w:r w:rsidRPr="00912A06">
        <w:rPr>
          <w:sz w:val="28"/>
          <w:szCs w:val="28"/>
        </w:rPr>
        <w:t xml:space="preserve"> </w:t>
      </w:r>
      <w:proofErr w:type="spellStart"/>
      <w:r w:rsidRPr="00912A06">
        <w:rPr>
          <w:sz w:val="28"/>
          <w:szCs w:val="28"/>
        </w:rPr>
        <w:t>млн</w:t>
      </w:r>
      <w:proofErr w:type="spellEnd"/>
      <w:r w:rsidRPr="00912A06">
        <w:rPr>
          <w:sz w:val="28"/>
          <w:szCs w:val="28"/>
        </w:rPr>
        <w:t xml:space="preserve"> </w:t>
      </w:r>
      <w:proofErr w:type="spellStart"/>
      <w:r w:rsidRPr="00912A06">
        <w:rPr>
          <w:sz w:val="28"/>
          <w:szCs w:val="28"/>
        </w:rPr>
        <w:t>грн</w:t>
      </w:r>
      <w:proofErr w:type="spellEnd"/>
      <w:r w:rsidRPr="00912A06">
        <w:rPr>
          <w:sz w:val="28"/>
          <w:szCs w:val="28"/>
        </w:rPr>
        <w:t xml:space="preserve"> комунальними підприємствами</w:t>
      </w:r>
      <w:r>
        <w:rPr>
          <w:sz w:val="28"/>
          <w:szCs w:val="28"/>
        </w:rPr>
        <w:t>, установами, організаціями</w:t>
      </w:r>
      <w:r w:rsidRPr="00912A06">
        <w:rPr>
          <w:sz w:val="28"/>
          <w:szCs w:val="28"/>
        </w:rPr>
        <w:t xml:space="preserve"> отримано 287,9 </w:t>
      </w:r>
      <w:proofErr w:type="spellStart"/>
      <w:r w:rsidRPr="00912A06">
        <w:rPr>
          <w:sz w:val="28"/>
          <w:szCs w:val="28"/>
        </w:rPr>
        <w:t>млн</w:t>
      </w:r>
      <w:proofErr w:type="spellEnd"/>
      <w:r w:rsidRPr="00912A06">
        <w:rPr>
          <w:sz w:val="28"/>
          <w:szCs w:val="28"/>
        </w:rPr>
        <w:t xml:space="preserve"> </w:t>
      </w:r>
      <w:proofErr w:type="spellStart"/>
      <w:r w:rsidRPr="00912A06">
        <w:rPr>
          <w:sz w:val="28"/>
          <w:szCs w:val="28"/>
        </w:rPr>
        <w:t>грн</w:t>
      </w:r>
      <w:proofErr w:type="spellEnd"/>
      <w:r w:rsidRPr="00912A06">
        <w:rPr>
          <w:sz w:val="28"/>
          <w:szCs w:val="28"/>
        </w:rPr>
        <w:t>, що більше на 83,</w:t>
      </w:r>
      <w:r>
        <w:rPr>
          <w:sz w:val="28"/>
          <w:szCs w:val="28"/>
        </w:rPr>
        <w:t xml:space="preserve">4 </w:t>
      </w:r>
      <w:r w:rsidRPr="00912A06">
        <w:rPr>
          <w:sz w:val="28"/>
          <w:szCs w:val="28"/>
        </w:rPr>
        <w:t>%.</w:t>
      </w:r>
    </w:p>
    <w:p w:rsidR="00BB4C18" w:rsidRPr="004A5B2C" w:rsidRDefault="00BB4C18" w:rsidP="00BB4C18">
      <w:pPr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</w:t>
      </w:r>
      <w:r w:rsidRPr="00242236">
        <w:rPr>
          <w:sz w:val="28"/>
          <w:szCs w:val="28"/>
        </w:rPr>
        <w:t xml:space="preserve">иконання (перевиконання) показників річних фінансових планів </w:t>
      </w:r>
      <w:r>
        <w:rPr>
          <w:sz w:val="28"/>
          <w:szCs w:val="28"/>
        </w:rPr>
        <w:t>н</w:t>
      </w:r>
      <w:r w:rsidRPr="00242236">
        <w:rPr>
          <w:sz w:val="28"/>
          <w:szCs w:val="28"/>
        </w:rPr>
        <w:t>а 2018 рік спостерігається у підприємств</w:t>
      </w:r>
      <w:r>
        <w:rPr>
          <w:sz w:val="28"/>
          <w:szCs w:val="28"/>
        </w:rPr>
        <w:t>ах, установах, організаціях</w:t>
      </w:r>
      <w:r w:rsidRPr="00242236">
        <w:rPr>
          <w:sz w:val="28"/>
          <w:szCs w:val="28"/>
        </w:rPr>
        <w:t>, що знаходяться в підпорядкуванні Київ</w:t>
      </w:r>
      <w:r>
        <w:rPr>
          <w:sz w:val="28"/>
          <w:szCs w:val="28"/>
        </w:rPr>
        <w:t>ської міської ради</w:t>
      </w:r>
      <w:r w:rsidRPr="00242236">
        <w:rPr>
          <w:sz w:val="28"/>
          <w:szCs w:val="28"/>
        </w:rPr>
        <w:t xml:space="preserve"> та структурних підрозділів виконавчого органу Київ</w:t>
      </w:r>
      <w:r>
        <w:rPr>
          <w:sz w:val="28"/>
          <w:szCs w:val="28"/>
        </w:rPr>
        <w:t>ської міської ради</w:t>
      </w:r>
      <w:r w:rsidRPr="00242236">
        <w:rPr>
          <w:sz w:val="28"/>
          <w:szCs w:val="28"/>
        </w:rPr>
        <w:t xml:space="preserve"> (</w:t>
      </w:r>
      <w:r>
        <w:rPr>
          <w:sz w:val="28"/>
          <w:szCs w:val="28"/>
        </w:rPr>
        <w:t>Київської міської державної адміністрації</w:t>
      </w:r>
      <w:r w:rsidRPr="00242236">
        <w:rPr>
          <w:sz w:val="28"/>
          <w:szCs w:val="28"/>
        </w:rPr>
        <w:t>).</w:t>
      </w:r>
      <w:r w:rsidRPr="004A5B2C">
        <w:rPr>
          <w:color w:val="FF0000"/>
          <w:sz w:val="28"/>
          <w:szCs w:val="28"/>
        </w:rPr>
        <w:t xml:space="preserve"> </w:t>
      </w:r>
      <w:r w:rsidRPr="004C2989">
        <w:rPr>
          <w:sz w:val="28"/>
          <w:szCs w:val="28"/>
        </w:rPr>
        <w:t>Зокрема, сукупні доходи перевиконано</w:t>
      </w:r>
      <w:r w:rsidRPr="004C2989">
        <w:rPr>
          <w:sz w:val="27"/>
          <w:szCs w:val="27"/>
        </w:rPr>
        <w:t xml:space="preserve"> </w:t>
      </w:r>
      <w:r w:rsidRPr="00E6200D">
        <w:rPr>
          <w:sz w:val="28"/>
          <w:szCs w:val="28"/>
        </w:rPr>
        <w:t>на 7,4 %, а</w:t>
      </w:r>
      <w:r w:rsidRPr="004C2989">
        <w:rPr>
          <w:sz w:val="28"/>
          <w:szCs w:val="28"/>
        </w:rPr>
        <w:t xml:space="preserve"> сукупні витрати збільшено на 1,</w:t>
      </w:r>
      <w:r>
        <w:rPr>
          <w:sz w:val="28"/>
          <w:szCs w:val="28"/>
        </w:rPr>
        <w:t>0</w:t>
      </w:r>
      <w:r w:rsidRPr="004C2989">
        <w:rPr>
          <w:sz w:val="28"/>
          <w:szCs w:val="28"/>
        </w:rPr>
        <w:t xml:space="preserve"> %.</w:t>
      </w:r>
      <w:r w:rsidRPr="004A5B2C">
        <w:rPr>
          <w:color w:val="FF0000"/>
          <w:sz w:val="28"/>
          <w:szCs w:val="28"/>
        </w:rPr>
        <w:t xml:space="preserve"> </w:t>
      </w:r>
      <w:r w:rsidRPr="004C2989">
        <w:rPr>
          <w:sz w:val="28"/>
          <w:szCs w:val="28"/>
        </w:rPr>
        <w:t>При запланованому сукупному прибутку (137,</w:t>
      </w:r>
      <w:r>
        <w:rPr>
          <w:sz w:val="28"/>
          <w:szCs w:val="28"/>
        </w:rPr>
        <w:t>5</w:t>
      </w:r>
      <w:r w:rsidRPr="004C2989">
        <w:rPr>
          <w:sz w:val="28"/>
          <w:szCs w:val="28"/>
        </w:rPr>
        <w:t xml:space="preserve"> </w:t>
      </w:r>
      <w:proofErr w:type="spellStart"/>
      <w:r w:rsidRPr="004C2989">
        <w:rPr>
          <w:sz w:val="28"/>
          <w:szCs w:val="28"/>
        </w:rPr>
        <w:t>млн</w:t>
      </w:r>
      <w:proofErr w:type="spellEnd"/>
      <w:r w:rsidRPr="004C2989">
        <w:rPr>
          <w:sz w:val="28"/>
          <w:szCs w:val="28"/>
        </w:rPr>
        <w:t xml:space="preserve"> </w:t>
      </w:r>
      <w:proofErr w:type="spellStart"/>
      <w:r w:rsidRPr="004C2989">
        <w:rPr>
          <w:sz w:val="28"/>
          <w:szCs w:val="28"/>
        </w:rPr>
        <w:t>грн</w:t>
      </w:r>
      <w:proofErr w:type="spellEnd"/>
      <w:r w:rsidRPr="004C2989">
        <w:rPr>
          <w:sz w:val="28"/>
          <w:szCs w:val="28"/>
        </w:rPr>
        <w:t>) фактично отримано</w:t>
      </w:r>
      <w:r>
        <w:rPr>
          <w:sz w:val="28"/>
          <w:szCs w:val="28"/>
        </w:rPr>
        <w:t xml:space="preserve"> </w:t>
      </w:r>
      <w:r w:rsidRPr="004C2989">
        <w:rPr>
          <w:sz w:val="28"/>
          <w:szCs w:val="28"/>
        </w:rPr>
        <w:t xml:space="preserve">255,4 </w:t>
      </w:r>
      <w:proofErr w:type="spellStart"/>
      <w:r w:rsidRPr="004C2989">
        <w:rPr>
          <w:sz w:val="28"/>
          <w:szCs w:val="28"/>
        </w:rPr>
        <w:t>млн</w:t>
      </w:r>
      <w:proofErr w:type="spellEnd"/>
      <w:r w:rsidRPr="004C2989">
        <w:rPr>
          <w:sz w:val="28"/>
          <w:szCs w:val="28"/>
        </w:rPr>
        <w:t xml:space="preserve"> </w:t>
      </w:r>
      <w:proofErr w:type="spellStart"/>
      <w:r w:rsidRPr="004C2989">
        <w:rPr>
          <w:sz w:val="28"/>
          <w:szCs w:val="28"/>
        </w:rPr>
        <w:t>грн</w:t>
      </w:r>
      <w:proofErr w:type="spellEnd"/>
      <w:r w:rsidRPr="004C2989">
        <w:rPr>
          <w:sz w:val="28"/>
          <w:szCs w:val="28"/>
        </w:rPr>
        <w:t>, що більше на 8</w:t>
      </w:r>
      <w:r>
        <w:rPr>
          <w:sz w:val="28"/>
          <w:szCs w:val="28"/>
        </w:rPr>
        <w:t>5</w:t>
      </w:r>
      <w:r w:rsidRPr="004C2989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4C2989">
        <w:rPr>
          <w:sz w:val="28"/>
          <w:szCs w:val="28"/>
        </w:rPr>
        <w:t xml:space="preserve"> %, а сукупні збитки (1 193,0 </w:t>
      </w:r>
      <w:proofErr w:type="spellStart"/>
      <w:r w:rsidRPr="004C2989">
        <w:rPr>
          <w:sz w:val="28"/>
          <w:szCs w:val="28"/>
        </w:rPr>
        <w:t>млн</w:t>
      </w:r>
      <w:proofErr w:type="spellEnd"/>
      <w:r w:rsidRPr="004C2989">
        <w:rPr>
          <w:sz w:val="28"/>
          <w:szCs w:val="28"/>
        </w:rPr>
        <w:t xml:space="preserve"> </w:t>
      </w:r>
      <w:proofErr w:type="spellStart"/>
      <w:r w:rsidRPr="004C2989">
        <w:rPr>
          <w:sz w:val="28"/>
          <w:szCs w:val="28"/>
        </w:rPr>
        <w:t>грн</w:t>
      </w:r>
      <w:proofErr w:type="spellEnd"/>
      <w:r w:rsidRPr="004C2989">
        <w:rPr>
          <w:sz w:val="28"/>
          <w:szCs w:val="28"/>
        </w:rPr>
        <w:t xml:space="preserve">) зменшились, порівняно з плановими </w:t>
      </w:r>
      <w:r>
        <w:rPr>
          <w:sz w:val="28"/>
          <w:szCs w:val="28"/>
        </w:rPr>
        <w:t xml:space="preserve">           </w:t>
      </w:r>
      <w:r w:rsidRPr="004C2989">
        <w:rPr>
          <w:sz w:val="28"/>
          <w:szCs w:val="28"/>
        </w:rPr>
        <w:t xml:space="preserve">(2 308,9 </w:t>
      </w:r>
      <w:proofErr w:type="spellStart"/>
      <w:r w:rsidRPr="004C2989">
        <w:rPr>
          <w:sz w:val="28"/>
          <w:szCs w:val="28"/>
        </w:rPr>
        <w:t>млн</w:t>
      </w:r>
      <w:proofErr w:type="spellEnd"/>
      <w:r w:rsidRPr="004C2989">
        <w:rPr>
          <w:sz w:val="28"/>
          <w:szCs w:val="28"/>
        </w:rPr>
        <w:t xml:space="preserve"> </w:t>
      </w:r>
      <w:proofErr w:type="spellStart"/>
      <w:r w:rsidRPr="004C2989">
        <w:rPr>
          <w:sz w:val="28"/>
          <w:szCs w:val="28"/>
        </w:rPr>
        <w:t>грн</w:t>
      </w:r>
      <w:proofErr w:type="spellEnd"/>
      <w:r w:rsidRPr="004C2989">
        <w:rPr>
          <w:sz w:val="28"/>
          <w:szCs w:val="28"/>
        </w:rPr>
        <w:t>), на 48,3%.</w:t>
      </w:r>
      <w:r w:rsidRPr="004A5B2C">
        <w:rPr>
          <w:color w:val="FF0000"/>
          <w:sz w:val="28"/>
          <w:szCs w:val="28"/>
        </w:rPr>
        <w:t xml:space="preserve"> </w:t>
      </w:r>
    </w:p>
    <w:p w:rsidR="00BB4C18" w:rsidRDefault="00BB4C18" w:rsidP="00BB4C18">
      <w:pPr>
        <w:ind w:firstLine="708"/>
        <w:jc w:val="both"/>
        <w:rPr>
          <w:sz w:val="28"/>
          <w:szCs w:val="28"/>
        </w:rPr>
      </w:pPr>
      <w:r w:rsidRPr="000C48A9">
        <w:rPr>
          <w:sz w:val="28"/>
          <w:szCs w:val="28"/>
        </w:rPr>
        <w:t xml:space="preserve">Насамперед, це зумовлено перевиконанням у звітному періоді планових показників </w:t>
      </w:r>
      <w:r>
        <w:rPr>
          <w:sz w:val="28"/>
          <w:szCs w:val="28"/>
        </w:rPr>
        <w:t>комунальним підприємством</w:t>
      </w:r>
      <w:r w:rsidRPr="0070077A">
        <w:rPr>
          <w:sz w:val="28"/>
          <w:szCs w:val="28"/>
        </w:rPr>
        <w:t xml:space="preserve"> «Міжнародний аеропорт «Київ» (Жуляни)</w:t>
      </w:r>
      <w:r w:rsidRPr="000C48A9">
        <w:rPr>
          <w:sz w:val="28"/>
          <w:szCs w:val="28"/>
        </w:rPr>
        <w:t>. Зокрема,</w:t>
      </w:r>
      <w:r w:rsidRPr="004A5B2C">
        <w:rPr>
          <w:color w:val="FF0000"/>
          <w:sz w:val="28"/>
          <w:szCs w:val="28"/>
        </w:rPr>
        <w:t xml:space="preserve"> </w:t>
      </w:r>
      <w:r w:rsidRPr="0070077A">
        <w:rPr>
          <w:sz w:val="28"/>
          <w:szCs w:val="28"/>
        </w:rPr>
        <w:t>при перевиконанні запланованих власних доходів на 66,0 % та перевиконан</w:t>
      </w:r>
      <w:r>
        <w:rPr>
          <w:sz w:val="28"/>
          <w:szCs w:val="28"/>
        </w:rPr>
        <w:t>ні</w:t>
      </w:r>
      <w:r w:rsidRPr="0070077A">
        <w:rPr>
          <w:sz w:val="28"/>
          <w:szCs w:val="28"/>
        </w:rPr>
        <w:t xml:space="preserve"> запланованих загальних витрат на 34,7 %, отримав чистий прибуток в розмірі 73,6 </w:t>
      </w:r>
      <w:proofErr w:type="spellStart"/>
      <w:r w:rsidRPr="0070077A">
        <w:rPr>
          <w:sz w:val="28"/>
          <w:szCs w:val="28"/>
        </w:rPr>
        <w:t>млн</w:t>
      </w:r>
      <w:proofErr w:type="spellEnd"/>
      <w:r w:rsidRPr="0070077A">
        <w:rPr>
          <w:sz w:val="28"/>
          <w:szCs w:val="28"/>
        </w:rPr>
        <w:t xml:space="preserve"> </w:t>
      </w:r>
      <w:proofErr w:type="spellStart"/>
      <w:r w:rsidRPr="0070077A">
        <w:rPr>
          <w:sz w:val="28"/>
          <w:szCs w:val="28"/>
        </w:rPr>
        <w:t>грн</w:t>
      </w:r>
      <w:proofErr w:type="spellEnd"/>
      <w:r w:rsidRPr="0070077A">
        <w:rPr>
          <w:sz w:val="28"/>
          <w:szCs w:val="28"/>
        </w:rPr>
        <w:t xml:space="preserve">, що є значно більшим (на 463,9 %) від планового показника (13,1 </w:t>
      </w:r>
      <w:proofErr w:type="spellStart"/>
      <w:r w:rsidRPr="0070077A">
        <w:rPr>
          <w:sz w:val="28"/>
          <w:szCs w:val="28"/>
        </w:rPr>
        <w:t>млн</w:t>
      </w:r>
      <w:proofErr w:type="spellEnd"/>
      <w:r w:rsidRPr="0070077A">
        <w:rPr>
          <w:sz w:val="28"/>
          <w:szCs w:val="28"/>
        </w:rPr>
        <w:t xml:space="preserve"> </w:t>
      </w:r>
      <w:proofErr w:type="spellStart"/>
      <w:r w:rsidRPr="0070077A">
        <w:rPr>
          <w:sz w:val="28"/>
          <w:szCs w:val="28"/>
        </w:rPr>
        <w:t>грн</w:t>
      </w:r>
      <w:proofErr w:type="spellEnd"/>
      <w:r w:rsidRPr="0070077A">
        <w:rPr>
          <w:sz w:val="28"/>
          <w:szCs w:val="28"/>
        </w:rPr>
        <w:t xml:space="preserve"> чистого прибутку).</w:t>
      </w:r>
    </w:p>
    <w:p w:rsidR="00953F9A" w:rsidRDefault="00953F9A" w:rsidP="00953F9A">
      <w:pPr>
        <w:ind w:firstLine="851"/>
        <w:jc w:val="both"/>
        <w:rPr>
          <w:sz w:val="27"/>
          <w:szCs w:val="27"/>
        </w:rPr>
      </w:pPr>
      <w:r w:rsidRPr="00534FE8">
        <w:rPr>
          <w:sz w:val="28"/>
          <w:szCs w:val="28"/>
        </w:rPr>
        <w:t xml:space="preserve">Окремі </w:t>
      </w:r>
      <w:r>
        <w:rPr>
          <w:sz w:val="28"/>
          <w:szCs w:val="28"/>
        </w:rPr>
        <w:t xml:space="preserve">фактичні </w:t>
      </w:r>
      <w:r w:rsidRPr="00534FE8">
        <w:rPr>
          <w:sz w:val="28"/>
          <w:szCs w:val="28"/>
        </w:rPr>
        <w:t>показники фінансово-господарської діяльності госпрозраху</w:t>
      </w:r>
      <w:r>
        <w:rPr>
          <w:sz w:val="28"/>
          <w:szCs w:val="28"/>
        </w:rPr>
        <w:t xml:space="preserve">нкових комунальних підприємств, </w:t>
      </w:r>
      <w:r w:rsidRPr="00534FE8">
        <w:rPr>
          <w:sz w:val="28"/>
          <w:szCs w:val="28"/>
        </w:rPr>
        <w:t>установ,</w:t>
      </w:r>
      <w:r>
        <w:rPr>
          <w:sz w:val="28"/>
          <w:szCs w:val="28"/>
        </w:rPr>
        <w:t xml:space="preserve"> та</w:t>
      </w:r>
      <w:r w:rsidRPr="00534FE8">
        <w:rPr>
          <w:sz w:val="28"/>
          <w:szCs w:val="28"/>
        </w:rPr>
        <w:t xml:space="preserve"> організацій територіальної громади м</w:t>
      </w:r>
      <w:r>
        <w:rPr>
          <w:sz w:val="28"/>
          <w:szCs w:val="28"/>
        </w:rPr>
        <w:t>іста</w:t>
      </w:r>
      <w:r w:rsidRPr="00534FE8">
        <w:rPr>
          <w:sz w:val="28"/>
          <w:szCs w:val="28"/>
        </w:rPr>
        <w:t xml:space="preserve"> Києва, що підпорядковані Київ</w:t>
      </w:r>
      <w:r>
        <w:rPr>
          <w:sz w:val="28"/>
          <w:szCs w:val="28"/>
        </w:rPr>
        <w:t>ської міської ради</w:t>
      </w:r>
      <w:r w:rsidRPr="00534FE8">
        <w:rPr>
          <w:sz w:val="28"/>
          <w:szCs w:val="28"/>
        </w:rPr>
        <w:t>, виконавчому органу Київ</w:t>
      </w:r>
      <w:r>
        <w:rPr>
          <w:sz w:val="28"/>
          <w:szCs w:val="28"/>
        </w:rPr>
        <w:t>ської міської ради</w:t>
      </w:r>
      <w:r w:rsidRPr="00534FE8">
        <w:rPr>
          <w:sz w:val="28"/>
          <w:szCs w:val="28"/>
        </w:rPr>
        <w:t xml:space="preserve"> (</w:t>
      </w:r>
      <w:r>
        <w:rPr>
          <w:sz w:val="28"/>
          <w:szCs w:val="28"/>
        </w:rPr>
        <w:t>Київській міській державній адміністрації</w:t>
      </w:r>
      <w:r w:rsidRPr="00534FE8">
        <w:rPr>
          <w:sz w:val="28"/>
          <w:szCs w:val="28"/>
        </w:rPr>
        <w:t>) та його структурним підрозділам, за 2018 рік, в порівнянні з плановими показниками, передбачен</w:t>
      </w:r>
      <w:r>
        <w:rPr>
          <w:sz w:val="28"/>
          <w:szCs w:val="28"/>
        </w:rPr>
        <w:t>ими</w:t>
      </w:r>
      <w:r w:rsidRPr="00534FE8">
        <w:rPr>
          <w:sz w:val="28"/>
          <w:szCs w:val="28"/>
        </w:rPr>
        <w:t xml:space="preserve"> їх затвердженими річними фінансовими планами</w:t>
      </w:r>
      <w:r>
        <w:rPr>
          <w:sz w:val="28"/>
          <w:szCs w:val="28"/>
        </w:rPr>
        <w:t xml:space="preserve"> н</w:t>
      </w:r>
      <w:r w:rsidRPr="00534FE8">
        <w:rPr>
          <w:sz w:val="28"/>
          <w:szCs w:val="28"/>
        </w:rPr>
        <w:t>а 2018 рік, наведено в додатку 9.</w:t>
      </w:r>
      <w:r w:rsidRPr="00534FE8">
        <w:rPr>
          <w:sz w:val="27"/>
          <w:szCs w:val="27"/>
        </w:rPr>
        <w:t xml:space="preserve"> </w:t>
      </w:r>
    </w:p>
    <w:p w:rsidR="00953F9A" w:rsidRDefault="00953F9A" w:rsidP="00953F9A">
      <w:pPr>
        <w:ind w:firstLine="851"/>
        <w:jc w:val="both"/>
        <w:rPr>
          <w:sz w:val="27"/>
          <w:szCs w:val="27"/>
        </w:rPr>
      </w:pPr>
    </w:p>
    <w:p w:rsidR="00953F9A" w:rsidRDefault="00953F9A" w:rsidP="00953F9A">
      <w:pPr>
        <w:ind w:firstLine="851"/>
        <w:jc w:val="both"/>
        <w:rPr>
          <w:sz w:val="27"/>
          <w:szCs w:val="27"/>
        </w:rPr>
      </w:pPr>
    </w:p>
    <w:p w:rsidR="00BB4C18" w:rsidRDefault="00BB4C18" w:rsidP="00BB4C18">
      <w:pPr>
        <w:ind w:firstLine="851"/>
        <w:jc w:val="right"/>
        <w:rPr>
          <w:sz w:val="28"/>
          <w:szCs w:val="28"/>
        </w:rPr>
      </w:pPr>
      <w:r w:rsidRPr="00DF0525">
        <w:rPr>
          <w:sz w:val="28"/>
          <w:szCs w:val="28"/>
        </w:rPr>
        <w:lastRenderedPageBreak/>
        <w:t>Таблиця 6</w:t>
      </w:r>
    </w:p>
    <w:p w:rsidR="00953F9A" w:rsidRPr="00DF0525" w:rsidRDefault="00953F9A" w:rsidP="00BB4C18">
      <w:pPr>
        <w:ind w:firstLine="851"/>
        <w:jc w:val="right"/>
        <w:rPr>
          <w:sz w:val="28"/>
          <w:szCs w:val="28"/>
        </w:rPr>
      </w:pPr>
    </w:p>
    <w:p w:rsidR="00BB4C18" w:rsidRPr="00DF0525" w:rsidRDefault="00BB4C18" w:rsidP="00BB4C18">
      <w:pPr>
        <w:jc w:val="center"/>
        <w:rPr>
          <w:b/>
          <w:sz w:val="28"/>
          <w:szCs w:val="28"/>
        </w:rPr>
      </w:pPr>
      <w:r w:rsidRPr="00DF0525">
        <w:rPr>
          <w:b/>
          <w:sz w:val="28"/>
          <w:szCs w:val="28"/>
        </w:rPr>
        <w:t>Зведені окремі планові показники фінансово-господарської діяльності</w:t>
      </w:r>
    </w:p>
    <w:p w:rsidR="00BB4C18" w:rsidRDefault="00BB4C18" w:rsidP="00BB4C18">
      <w:pPr>
        <w:jc w:val="center"/>
        <w:rPr>
          <w:b/>
          <w:sz w:val="28"/>
          <w:szCs w:val="28"/>
        </w:rPr>
      </w:pPr>
      <w:r w:rsidRPr="00DF0525">
        <w:rPr>
          <w:b/>
          <w:sz w:val="28"/>
          <w:szCs w:val="28"/>
        </w:rPr>
        <w:t>підприємств комунальної власності за 2018 рік, передбачені їх затвердженими річними фінансовими планами на 2018 рік, в порівнянні з фактичними показниками за 2018 рік.</w:t>
      </w:r>
    </w:p>
    <w:p w:rsidR="00953F9A" w:rsidRPr="00DF0525" w:rsidRDefault="00953F9A" w:rsidP="00BB4C18">
      <w:pPr>
        <w:jc w:val="center"/>
        <w:rPr>
          <w:b/>
          <w:sz w:val="28"/>
          <w:szCs w:val="28"/>
        </w:rPr>
      </w:pPr>
    </w:p>
    <w:p w:rsidR="00BB4C18" w:rsidRPr="00320F9C" w:rsidRDefault="00BB4C18" w:rsidP="00BB4C18">
      <w:pPr>
        <w:ind w:firstLine="851"/>
        <w:jc w:val="right"/>
        <w:rPr>
          <w:sz w:val="28"/>
          <w:szCs w:val="28"/>
        </w:rPr>
      </w:pPr>
      <w:proofErr w:type="spellStart"/>
      <w:r w:rsidRPr="00320F9C">
        <w:rPr>
          <w:sz w:val="28"/>
          <w:szCs w:val="28"/>
        </w:rPr>
        <w:t>млн</w:t>
      </w:r>
      <w:proofErr w:type="spellEnd"/>
      <w:r w:rsidRPr="00320F9C">
        <w:rPr>
          <w:sz w:val="28"/>
          <w:szCs w:val="28"/>
        </w:rPr>
        <w:t xml:space="preserve"> </w:t>
      </w:r>
      <w:proofErr w:type="spellStart"/>
      <w:r w:rsidRPr="00320F9C">
        <w:rPr>
          <w:sz w:val="28"/>
          <w:szCs w:val="28"/>
        </w:rPr>
        <w:t>грн</w:t>
      </w:r>
      <w:proofErr w:type="spellEnd"/>
    </w:p>
    <w:tbl>
      <w:tblPr>
        <w:tblW w:w="10775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905"/>
        <w:gridCol w:w="992"/>
        <w:gridCol w:w="851"/>
        <w:gridCol w:w="850"/>
        <w:gridCol w:w="993"/>
        <w:gridCol w:w="900"/>
        <w:gridCol w:w="956"/>
        <w:gridCol w:w="1067"/>
      </w:tblGrid>
      <w:tr w:rsidR="00BB4C18" w:rsidRPr="004A5B2C" w:rsidTr="00953F9A">
        <w:trPr>
          <w:trHeight w:val="64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C18" w:rsidRPr="00953F9A" w:rsidRDefault="00BB4C18" w:rsidP="00BB4C18">
            <w:pPr>
              <w:jc w:val="center"/>
              <w:rPr>
                <w:b/>
              </w:rPr>
            </w:pPr>
            <w:r w:rsidRPr="00953F9A">
              <w:rPr>
                <w:b/>
              </w:rPr>
              <w:t>Показники фінансово-господарської діяльності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4C18" w:rsidRPr="00953F9A" w:rsidRDefault="00BB4C18" w:rsidP="00BB4C18">
            <w:pPr>
              <w:jc w:val="center"/>
              <w:rPr>
                <w:b/>
              </w:rPr>
            </w:pPr>
            <w:r w:rsidRPr="00953F9A">
              <w:rPr>
                <w:b/>
              </w:rPr>
              <w:t>У підпорядкуванні Київської міської ради, виконавчого органу Київської міської ради (Київської міської державної адміністрації) та його структурних підрозділів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953F9A" w:rsidRDefault="00BB4C18" w:rsidP="00BB4C18">
            <w:pPr>
              <w:jc w:val="center"/>
              <w:rPr>
                <w:b/>
              </w:rPr>
            </w:pPr>
            <w:r w:rsidRPr="00953F9A">
              <w:rPr>
                <w:b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953F9A" w:rsidRDefault="00BB4C18" w:rsidP="00BB4C18">
            <w:pPr>
              <w:jc w:val="center"/>
              <w:rPr>
                <w:b/>
              </w:rPr>
            </w:pPr>
            <w:r w:rsidRPr="00953F9A">
              <w:rPr>
                <w:b/>
              </w:rPr>
              <w:t>Разом по підприємствах комунальної власності міста Києва</w:t>
            </w:r>
          </w:p>
        </w:tc>
      </w:tr>
      <w:tr w:rsidR="00BB4C18" w:rsidRPr="004A5B2C" w:rsidTr="00953F9A">
        <w:trPr>
          <w:trHeight w:val="76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DF0525" w:rsidRDefault="00BB4C18" w:rsidP="00BB4C18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>План на</w:t>
            </w:r>
          </w:p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>2018 р.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>Факт за</w:t>
            </w:r>
          </w:p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 xml:space="preserve"> 2018р.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proofErr w:type="spellStart"/>
            <w:r w:rsidRPr="00DF0525">
              <w:rPr>
                <w:b/>
                <w:sz w:val="18"/>
                <w:szCs w:val="18"/>
              </w:rPr>
              <w:t>Відносн</w:t>
            </w:r>
            <w:proofErr w:type="spellEnd"/>
            <w:r w:rsidRPr="00DF0525">
              <w:rPr>
                <w:b/>
                <w:sz w:val="18"/>
                <w:szCs w:val="18"/>
              </w:rPr>
              <w:t>.</w:t>
            </w:r>
          </w:p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>відхилення,</w:t>
            </w:r>
          </w:p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 xml:space="preserve">План </w:t>
            </w:r>
          </w:p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>на 2018 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 xml:space="preserve">Факт за </w:t>
            </w:r>
          </w:p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>2018 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proofErr w:type="spellStart"/>
            <w:r w:rsidRPr="00DF0525">
              <w:rPr>
                <w:b/>
                <w:sz w:val="18"/>
                <w:szCs w:val="18"/>
              </w:rPr>
              <w:t>Відносн</w:t>
            </w:r>
            <w:proofErr w:type="spellEnd"/>
            <w:r w:rsidRPr="00DF0525">
              <w:rPr>
                <w:b/>
                <w:sz w:val="18"/>
                <w:szCs w:val="18"/>
              </w:rPr>
              <w:t>.</w:t>
            </w:r>
          </w:p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>відхилення,</w:t>
            </w:r>
          </w:p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 xml:space="preserve">План </w:t>
            </w:r>
          </w:p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>на 2018 р.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>Факт за</w:t>
            </w:r>
          </w:p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 xml:space="preserve"> 2018 р.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proofErr w:type="spellStart"/>
            <w:r w:rsidRPr="00DF0525">
              <w:rPr>
                <w:b/>
                <w:sz w:val="18"/>
                <w:szCs w:val="18"/>
              </w:rPr>
              <w:t>Відносн</w:t>
            </w:r>
            <w:proofErr w:type="spellEnd"/>
            <w:r w:rsidRPr="00DF0525">
              <w:rPr>
                <w:b/>
                <w:sz w:val="18"/>
                <w:szCs w:val="18"/>
              </w:rPr>
              <w:t>.</w:t>
            </w:r>
          </w:p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>відхилення,</w:t>
            </w:r>
          </w:p>
          <w:p w:rsidR="00BB4C18" w:rsidRPr="00DF0525" w:rsidRDefault="00BB4C18" w:rsidP="00BB4C18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DF0525">
              <w:rPr>
                <w:b/>
                <w:sz w:val="18"/>
                <w:szCs w:val="18"/>
              </w:rPr>
              <w:t>%</w:t>
            </w:r>
          </w:p>
        </w:tc>
      </w:tr>
      <w:tr w:rsidR="00BB4C18" w:rsidRPr="004A5B2C" w:rsidTr="00953F9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C18" w:rsidRPr="00953F9A" w:rsidRDefault="00BB4C18" w:rsidP="00BB4C18">
            <w:r w:rsidRPr="00953F9A">
              <w:t>власні доходи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76533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176533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 599,3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76533" w:rsidRDefault="00BB4C18" w:rsidP="00BB4C18">
            <w:pPr>
              <w:ind w:left="-208" w:right="-49"/>
              <w:jc w:val="right"/>
              <w:rPr>
                <w:sz w:val="22"/>
                <w:szCs w:val="22"/>
              </w:rPr>
            </w:pPr>
            <w:r w:rsidRPr="00176533">
              <w:rPr>
                <w:sz w:val="22"/>
                <w:szCs w:val="22"/>
              </w:rPr>
              <w:t xml:space="preserve">15 508,0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67A13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67A13">
              <w:rPr>
                <w:sz w:val="22"/>
                <w:szCs w:val="22"/>
              </w:rPr>
              <w:t>+6,</w:t>
            </w:r>
            <w:r>
              <w:rPr>
                <w:sz w:val="22"/>
                <w:szCs w:val="22"/>
              </w:rPr>
              <w:t>2</w:t>
            </w:r>
            <w:r w:rsidRPr="00E67A13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3F6E94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3F6E94">
              <w:rPr>
                <w:sz w:val="22"/>
                <w:szCs w:val="22"/>
              </w:rPr>
              <w:t>4 447,5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3F6E94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3F6E94">
              <w:rPr>
                <w:sz w:val="22"/>
                <w:szCs w:val="22"/>
              </w:rPr>
              <w:t>4 559,2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E7BB7">
              <w:rPr>
                <w:sz w:val="22"/>
                <w:szCs w:val="22"/>
              </w:rPr>
              <w:t>+2,5%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13048F">
              <w:rPr>
                <w:sz w:val="22"/>
                <w:szCs w:val="22"/>
              </w:rPr>
              <w:t>19 0</w:t>
            </w:r>
            <w:r>
              <w:rPr>
                <w:sz w:val="22"/>
                <w:szCs w:val="22"/>
              </w:rPr>
              <w:t>46</w:t>
            </w:r>
            <w:r w:rsidRPr="001304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4A5B2C" w:rsidRDefault="00BB4C18" w:rsidP="00BB4C18">
            <w:pPr>
              <w:ind w:left="-208"/>
              <w:jc w:val="right"/>
              <w:rPr>
                <w:color w:val="FF0000"/>
                <w:sz w:val="22"/>
                <w:szCs w:val="22"/>
              </w:rPr>
            </w:pPr>
            <w:r w:rsidRPr="0013048F">
              <w:rPr>
                <w:sz w:val="22"/>
                <w:szCs w:val="22"/>
              </w:rPr>
              <w:t>20</w:t>
            </w:r>
            <w:r>
              <w:rPr>
                <w:color w:val="FF0000"/>
                <w:sz w:val="22"/>
                <w:szCs w:val="22"/>
              </w:rPr>
              <w:t> </w:t>
            </w:r>
            <w:r w:rsidRPr="0013048F">
              <w:rPr>
                <w:sz w:val="22"/>
                <w:szCs w:val="22"/>
              </w:rPr>
              <w:t>067,2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B35DD" w:rsidRDefault="00BB4C18" w:rsidP="00BB4C18">
            <w:pPr>
              <w:ind w:left="-49"/>
              <w:jc w:val="right"/>
              <w:rPr>
                <w:sz w:val="22"/>
                <w:szCs w:val="22"/>
              </w:rPr>
            </w:pPr>
            <w:r w:rsidRPr="001B35DD">
              <w:rPr>
                <w:sz w:val="22"/>
                <w:szCs w:val="22"/>
              </w:rPr>
              <w:t>+5,</w:t>
            </w:r>
            <w:r>
              <w:rPr>
                <w:sz w:val="22"/>
                <w:szCs w:val="22"/>
              </w:rPr>
              <w:t>4</w:t>
            </w:r>
            <w:r w:rsidRPr="001B35DD">
              <w:rPr>
                <w:sz w:val="22"/>
                <w:szCs w:val="22"/>
              </w:rPr>
              <w:t>%</w:t>
            </w:r>
          </w:p>
        </w:tc>
      </w:tr>
      <w:tr w:rsidR="00BB4C18" w:rsidRPr="004A5B2C" w:rsidTr="00953F9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C18" w:rsidRPr="00953F9A" w:rsidRDefault="00BB4C18" w:rsidP="00BB4C18">
            <w:r w:rsidRPr="00953F9A">
              <w:t>доходи за рахунок бюджетних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76533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176533">
              <w:rPr>
                <w:sz w:val="22"/>
                <w:szCs w:val="22"/>
              </w:rPr>
              <w:t>4 897,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76533" w:rsidRDefault="00BB4C18" w:rsidP="00BB4C18">
            <w:pPr>
              <w:ind w:left="-208" w:right="-49"/>
              <w:jc w:val="right"/>
              <w:rPr>
                <w:sz w:val="22"/>
                <w:szCs w:val="22"/>
              </w:rPr>
            </w:pPr>
            <w:r w:rsidRPr="00176533">
              <w:rPr>
                <w:sz w:val="22"/>
                <w:szCs w:val="22"/>
              </w:rPr>
              <w:t>5 434,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67A13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67A13">
              <w:rPr>
                <w:sz w:val="22"/>
                <w:szCs w:val="22"/>
              </w:rPr>
              <w:t>+1</w:t>
            </w:r>
            <w:r>
              <w:rPr>
                <w:sz w:val="22"/>
                <w:szCs w:val="22"/>
              </w:rPr>
              <w:t>1</w:t>
            </w:r>
            <w:r w:rsidRPr="00E67A13">
              <w:rPr>
                <w:sz w:val="22"/>
                <w:szCs w:val="22"/>
              </w:rPr>
              <w:t>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6D25B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6D25BF">
              <w:rPr>
                <w:sz w:val="22"/>
                <w:szCs w:val="22"/>
              </w:rPr>
              <w:t>2 165,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6D25B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6D25BF">
              <w:rPr>
                <w:sz w:val="22"/>
                <w:szCs w:val="22"/>
              </w:rPr>
              <w:t>2 043,8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E7BB7">
              <w:rPr>
                <w:sz w:val="22"/>
                <w:szCs w:val="22"/>
              </w:rPr>
              <w:t>-5,6%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13048F">
              <w:rPr>
                <w:sz w:val="22"/>
                <w:szCs w:val="22"/>
              </w:rPr>
              <w:t>7 062,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13048F">
              <w:rPr>
                <w:sz w:val="22"/>
                <w:szCs w:val="22"/>
              </w:rPr>
              <w:t>7 477,9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B35DD" w:rsidRDefault="00BB4C18" w:rsidP="00BB4C18">
            <w:pPr>
              <w:ind w:left="-49"/>
              <w:jc w:val="right"/>
              <w:rPr>
                <w:sz w:val="22"/>
                <w:szCs w:val="22"/>
              </w:rPr>
            </w:pPr>
            <w:r w:rsidRPr="001B35DD">
              <w:rPr>
                <w:sz w:val="22"/>
                <w:szCs w:val="22"/>
              </w:rPr>
              <w:t>+5,9%</w:t>
            </w:r>
          </w:p>
        </w:tc>
      </w:tr>
      <w:tr w:rsidR="00BB4C18" w:rsidRPr="004A5B2C" w:rsidTr="00953F9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C18" w:rsidRPr="00953F9A" w:rsidRDefault="00BB4C18" w:rsidP="00BB4C18">
            <w:pPr>
              <w:rPr>
                <w:b/>
              </w:rPr>
            </w:pPr>
            <w:r w:rsidRPr="00953F9A">
              <w:rPr>
                <w:b/>
              </w:rPr>
              <w:t xml:space="preserve">Разом сукупні доходи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76533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176533">
              <w:rPr>
                <w:b/>
                <w:sz w:val="22"/>
                <w:szCs w:val="22"/>
              </w:rPr>
              <w:t>19</w:t>
            </w:r>
            <w:r>
              <w:rPr>
                <w:b/>
                <w:sz w:val="22"/>
                <w:szCs w:val="22"/>
              </w:rPr>
              <w:t> 496,5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76533" w:rsidRDefault="00BB4C18" w:rsidP="00BB4C18">
            <w:pPr>
              <w:ind w:left="-208" w:right="-49"/>
              <w:jc w:val="right"/>
              <w:rPr>
                <w:b/>
                <w:sz w:val="22"/>
                <w:szCs w:val="22"/>
              </w:rPr>
            </w:pPr>
            <w:r w:rsidRPr="00176533">
              <w:rPr>
                <w:b/>
                <w:sz w:val="22"/>
                <w:szCs w:val="22"/>
              </w:rPr>
              <w:t>20 942,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6D25BF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6D25BF">
              <w:rPr>
                <w:b/>
                <w:sz w:val="22"/>
                <w:szCs w:val="22"/>
              </w:rPr>
              <w:t>+7,</w:t>
            </w:r>
            <w:r>
              <w:rPr>
                <w:b/>
                <w:sz w:val="22"/>
                <w:szCs w:val="22"/>
              </w:rPr>
              <w:t>4</w:t>
            </w:r>
            <w:r w:rsidRPr="006D25B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6D25BF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6 612,7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6D25BF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6D25BF">
              <w:rPr>
                <w:b/>
                <w:sz w:val="22"/>
                <w:szCs w:val="22"/>
              </w:rPr>
              <w:t>6 603,0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EE7BB7">
              <w:rPr>
                <w:b/>
                <w:sz w:val="22"/>
                <w:szCs w:val="22"/>
              </w:rPr>
              <w:t>-0,1%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13048F">
              <w:rPr>
                <w:b/>
                <w:sz w:val="22"/>
                <w:szCs w:val="22"/>
              </w:rPr>
              <w:t>26</w:t>
            </w:r>
            <w:r>
              <w:rPr>
                <w:b/>
                <w:sz w:val="22"/>
                <w:szCs w:val="22"/>
              </w:rPr>
              <w:t> 109,2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13048F">
              <w:rPr>
                <w:b/>
                <w:sz w:val="22"/>
                <w:szCs w:val="22"/>
              </w:rPr>
              <w:t>27 545,1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B35DD" w:rsidRDefault="00BB4C18" w:rsidP="00BB4C18">
            <w:pPr>
              <w:ind w:left="-49"/>
              <w:jc w:val="right"/>
              <w:rPr>
                <w:b/>
                <w:sz w:val="22"/>
                <w:szCs w:val="22"/>
              </w:rPr>
            </w:pPr>
            <w:r w:rsidRPr="001B35DD">
              <w:rPr>
                <w:b/>
                <w:sz w:val="22"/>
                <w:szCs w:val="22"/>
              </w:rPr>
              <w:t>+</w:t>
            </w:r>
            <w:r>
              <w:rPr>
                <w:b/>
                <w:sz w:val="22"/>
                <w:szCs w:val="22"/>
              </w:rPr>
              <w:t>5,5</w:t>
            </w:r>
            <w:r w:rsidRPr="001B35DD">
              <w:rPr>
                <w:b/>
                <w:sz w:val="22"/>
                <w:szCs w:val="22"/>
              </w:rPr>
              <w:t>%</w:t>
            </w:r>
          </w:p>
        </w:tc>
      </w:tr>
      <w:tr w:rsidR="00BB4C18" w:rsidRPr="004A5B2C" w:rsidTr="00953F9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C18" w:rsidRPr="00953F9A" w:rsidRDefault="00BB4C18" w:rsidP="00BB4C18">
            <w:r w:rsidRPr="00953F9A">
              <w:t>собівартість реалізованої продукції (товарів, робіт, послуг)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2578BD" w:rsidRDefault="00BB4C18" w:rsidP="00BB4C18">
            <w:pPr>
              <w:ind w:left="-208"/>
              <w:jc w:val="right"/>
              <w:rPr>
                <w:sz w:val="22"/>
                <w:szCs w:val="22"/>
                <w:lang w:val="en-US"/>
              </w:rPr>
            </w:pPr>
            <w:r w:rsidRPr="002578BD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 098,9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76533" w:rsidRDefault="00BB4C18" w:rsidP="00BB4C18">
            <w:pPr>
              <w:ind w:left="-208" w:right="-49"/>
              <w:jc w:val="right"/>
              <w:rPr>
                <w:sz w:val="22"/>
                <w:szCs w:val="22"/>
                <w:lang w:val="en-US"/>
              </w:rPr>
            </w:pPr>
            <w:r w:rsidRPr="00176533">
              <w:rPr>
                <w:sz w:val="22"/>
                <w:szCs w:val="22"/>
              </w:rPr>
              <w:t>18 257,4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67A13" w:rsidRDefault="00BB4C18" w:rsidP="00BB4C18">
            <w:pPr>
              <w:ind w:left="-208"/>
              <w:jc w:val="right"/>
              <w:rPr>
                <w:sz w:val="22"/>
                <w:szCs w:val="22"/>
                <w:lang w:val="en-US"/>
              </w:rPr>
            </w:pPr>
            <w:r w:rsidRPr="00E67A13">
              <w:rPr>
                <w:sz w:val="22"/>
                <w:szCs w:val="22"/>
              </w:rPr>
              <w:t>-4,4</w:t>
            </w:r>
            <w:r w:rsidRPr="00E67A13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E7BB7">
              <w:rPr>
                <w:sz w:val="22"/>
                <w:szCs w:val="22"/>
              </w:rPr>
              <w:t>4 406,2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E7BB7">
              <w:rPr>
                <w:sz w:val="22"/>
                <w:szCs w:val="22"/>
              </w:rPr>
              <w:t>4 244,4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E7BB7">
              <w:rPr>
                <w:sz w:val="22"/>
                <w:szCs w:val="22"/>
              </w:rPr>
              <w:t>-3,7%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13048F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 505,1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13048F">
              <w:rPr>
                <w:sz w:val="22"/>
                <w:szCs w:val="22"/>
              </w:rPr>
              <w:t>22 501,8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B35DD" w:rsidRDefault="00BB4C18" w:rsidP="00BB4C18">
            <w:pPr>
              <w:ind w:left="-49"/>
              <w:jc w:val="right"/>
              <w:rPr>
                <w:sz w:val="22"/>
                <w:szCs w:val="22"/>
              </w:rPr>
            </w:pPr>
            <w:r w:rsidRPr="001B35DD">
              <w:rPr>
                <w:sz w:val="22"/>
                <w:szCs w:val="22"/>
              </w:rPr>
              <w:t>-4,</w:t>
            </w:r>
            <w:r>
              <w:rPr>
                <w:sz w:val="22"/>
                <w:szCs w:val="22"/>
              </w:rPr>
              <w:t>3</w:t>
            </w:r>
            <w:r w:rsidRPr="001B35DD">
              <w:rPr>
                <w:sz w:val="22"/>
                <w:szCs w:val="22"/>
              </w:rPr>
              <w:t>%</w:t>
            </w:r>
          </w:p>
        </w:tc>
      </w:tr>
      <w:tr w:rsidR="00BB4C18" w:rsidRPr="004A5B2C" w:rsidTr="00953F9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C18" w:rsidRPr="00953F9A" w:rsidRDefault="00BB4C18" w:rsidP="00BB4C18">
            <w:r w:rsidRPr="00953F9A">
              <w:t>адміністративні витрати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2578BD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2578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121,2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67A13" w:rsidRDefault="00BB4C18" w:rsidP="00BB4C18">
            <w:pPr>
              <w:ind w:left="-208" w:right="-49"/>
              <w:jc w:val="right"/>
              <w:rPr>
                <w:sz w:val="22"/>
                <w:szCs w:val="22"/>
              </w:rPr>
            </w:pPr>
            <w:r w:rsidRPr="00E67A13">
              <w:rPr>
                <w:sz w:val="22"/>
                <w:szCs w:val="22"/>
              </w:rPr>
              <w:t>1 252,2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67A13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67A13">
              <w:rPr>
                <w:sz w:val="22"/>
                <w:szCs w:val="22"/>
              </w:rPr>
              <w:t>+1</w:t>
            </w:r>
            <w:r>
              <w:rPr>
                <w:sz w:val="22"/>
                <w:szCs w:val="22"/>
              </w:rPr>
              <w:t>1</w:t>
            </w:r>
            <w:r w:rsidRPr="00E67A1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Pr="00E67A13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E7BB7">
              <w:rPr>
                <w:sz w:val="22"/>
                <w:szCs w:val="22"/>
              </w:rPr>
              <w:t>538,0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E7BB7">
              <w:rPr>
                <w:sz w:val="22"/>
                <w:szCs w:val="22"/>
              </w:rPr>
              <w:t>589,5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E7BB7">
              <w:rPr>
                <w:sz w:val="22"/>
                <w:szCs w:val="22"/>
              </w:rPr>
              <w:t>+9,6%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13048F">
              <w:rPr>
                <w:sz w:val="22"/>
                <w:szCs w:val="22"/>
              </w:rPr>
              <w:t>1 65</w:t>
            </w:r>
            <w:r>
              <w:rPr>
                <w:sz w:val="22"/>
                <w:szCs w:val="22"/>
              </w:rPr>
              <w:t>9</w:t>
            </w:r>
            <w:r w:rsidRPr="0013048F">
              <w:rPr>
                <w:sz w:val="22"/>
                <w:szCs w:val="22"/>
              </w:rPr>
              <w:t>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13048F">
              <w:rPr>
                <w:sz w:val="22"/>
                <w:szCs w:val="22"/>
              </w:rPr>
              <w:t>1 841,7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B35DD" w:rsidRDefault="00BB4C18" w:rsidP="00BB4C18">
            <w:pPr>
              <w:ind w:left="-49"/>
              <w:jc w:val="right"/>
              <w:rPr>
                <w:sz w:val="22"/>
                <w:szCs w:val="22"/>
              </w:rPr>
            </w:pPr>
            <w:r w:rsidRPr="001B35DD">
              <w:rPr>
                <w:sz w:val="22"/>
                <w:szCs w:val="22"/>
              </w:rPr>
              <w:t>+11,</w:t>
            </w:r>
            <w:r>
              <w:rPr>
                <w:sz w:val="22"/>
                <w:szCs w:val="22"/>
              </w:rPr>
              <w:t>0</w:t>
            </w:r>
            <w:r w:rsidRPr="001B35DD">
              <w:rPr>
                <w:sz w:val="22"/>
                <w:szCs w:val="22"/>
              </w:rPr>
              <w:t>%</w:t>
            </w:r>
          </w:p>
        </w:tc>
      </w:tr>
      <w:tr w:rsidR="00BB4C18" w:rsidRPr="004A5B2C" w:rsidTr="00953F9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C18" w:rsidRPr="00953F9A" w:rsidRDefault="00BB4C18" w:rsidP="00BB4C18">
            <w:r w:rsidRPr="00953F9A">
              <w:t>витрати на збут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2578BD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2578BD" w:rsidRDefault="00BB4C18" w:rsidP="00BB4C18">
            <w:pPr>
              <w:ind w:left="-208" w:right="-49"/>
              <w:jc w:val="right"/>
              <w:rPr>
                <w:sz w:val="22"/>
                <w:szCs w:val="22"/>
              </w:rPr>
            </w:pPr>
            <w:r w:rsidRPr="002578BD">
              <w:rPr>
                <w:sz w:val="22"/>
                <w:szCs w:val="22"/>
              </w:rPr>
              <w:t>287,1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67A13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67A13">
              <w:rPr>
                <w:sz w:val="22"/>
                <w:szCs w:val="22"/>
              </w:rPr>
              <w:t>-5,</w:t>
            </w:r>
            <w:r>
              <w:rPr>
                <w:sz w:val="22"/>
                <w:szCs w:val="22"/>
              </w:rPr>
              <w:t>6</w:t>
            </w:r>
            <w:r w:rsidRPr="00E67A13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E7BB7">
              <w:rPr>
                <w:sz w:val="22"/>
                <w:szCs w:val="22"/>
              </w:rPr>
              <w:t>52,2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E7BB7"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E7BB7">
              <w:rPr>
                <w:sz w:val="22"/>
                <w:szCs w:val="22"/>
              </w:rPr>
              <w:t>+17,4%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13048F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6</w:t>
            </w:r>
            <w:r w:rsidRPr="001304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13048F">
              <w:rPr>
                <w:sz w:val="22"/>
                <w:szCs w:val="22"/>
              </w:rPr>
              <w:t>348,4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B35DD" w:rsidRDefault="00BB4C18" w:rsidP="00BB4C18">
            <w:pPr>
              <w:ind w:left="-49"/>
              <w:jc w:val="right"/>
              <w:rPr>
                <w:sz w:val="22"/>
                <w:szCs w:val="22"/>
              </w:rPr>
            </w:pPr>
            <w:r w:rsidRPr="001B35DD">
              <w:rPr>
                <w:sz w:val="22"/>
                <w:szCs w:val="22"/>
              </w:rPr>
              <w:t>-2,</w:t>
            </w:r>
            <w:r>
              <w:rPr>
                <w:sz w:val="22"/>
                <w:szCs w:val="22"/>
              </w:rPr>
              <w:t>2</w:t>
            </w:r>
            <w:r w:rsidRPr="001B35DD">
              <w:rPr>
                <w:sz w:val="22"/>
                <w:szCs w:val="22"/>
              </w:rPr>
              <w:t>%</w:t>
            </w:r>
          </w:p>
        </w:tc>
      </w:tr>
      <w:tr w:rsidR="00BB4C18" w:rsidRPr="004A5B2C" w:rsidTr="00953F9A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C18" w:rsidRPr="00953F9A" w:rsidRDefault="00BB4C18" w:rsidP="00BB4C18">
            <w:r w:rsidRPr="00953F9A">
              <w:t xml:space="preserve">інші витрати (в т. ч. податок на прибуток)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2578BD" w:rsidRDefault="00BB4C18" w:rsidP="00BB4C18">
            <w:pPr>
              <w:ind w:left="-208"/>
              <w:jc w:val="right"/>
              <w:rPr>
                <w:sz w:val="22"/>
                <w:szCs w:val="22"/>
                <w:lang w:val="en-US"/>
              </w:rPr>
            </w:pPr>
            <w:r w:rsidRPr="002578BD">
              <w:rPr>
                <w:sz w:val="22"/>
                <w:szCs w:val="22"/>
              </w:rPr>
              <w:t>1 143,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2578BD" w:rsidRDefault="00BB4C18" w:rsidP="00BB4C18">
            <w:pPr>
              <w:ind w:left="-208" w:right="-49"/>
              <w:jc w:val="right"/>
              <w:rPr>
                <w:sz w:val="22"/>
                <w:szCs w:val="22"/>
              </w:rPr>
            </w:pPr>
            <w:r w:rsidRPr="002578BD">
              <w:rPr>
                <w:sz w:val="22"/>
                <w:szCs w:val="22"/>
              </w:rPr>
              <w:t>2 083,0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67A13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67A13">
              <w:rPr>
                <w:sz w:val="22"/>
                <w:szCs w:val="22"/>
              </w:rPr>
              <w:t>+82,2%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E7BB7">
              <w:rPr>
                <w:sz w:val="22"/>
                <w:szCs w:val="22"/>
              </w:rPr>
              <w:t>1 596,8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E7BB7">
              <w:rPr>
                <w:sz w:val="22"/>
                <w:szCs w:val="22"/>
              </w:rPr>
              <w:t>1 677,7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EE7BB7">
              <w:rPr>
                <w:sz w:val="22"/>
                <w:szCs w:val="22"/>
              </w:rPr>
              <w:t>+5,1%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13048F">
              <w:rPr>
                <w:sz w:val="22"/>
                <w:szCs w:val="22"/>
              </w:rPr>
              <w:t>2 7</w:t>
            </w:r>
            <w:r>
              <w:rPr>
                <w:sz w:val="22"/>
                <w:szCs w:val="22"/>
              </w:rPr>
              <w:t>40,4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sz w:val="22"/>
                <w:szCs w:val="22"/>
              </w:rPr>
            </w:pPr>
            <w:r w:rsidRPr="0013048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13048F">
              <w:rPr>
                <w:sz w:val="22"/>
                <w:szCs w:val="22"/>
              </w:rPr>
              <w:t>760,7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B35DD" w:rsidRDefault="00BB4C18" w:rsidP="00BB4C18">
            <w:pPr>
              <w:ind w:left="-49"/>
              <w:jc w:val="right"/>
              <w:rPr>
                <w:sz w:val="22"/>
                <w:szCs w:val="22"/>
              </w:rPr>
            </w:pPr>
            <w:r w:rsidRPr="001B35DD">
              <w:rPr>
                <w:sz w:val="22"/>
                <w:szCs w:val="22"/>
              </w:rPr>
              <w:t>+3</w:t>
            </w:r>
            <w:r>
              <w:rPr>
                <w:sz w:val="22"/>
                <w:szCs w:val="22"/>
              </w:rPr>
              <w:t>7</w:t>
            </w:r>
            <w:r w:rsidRPr="001B35D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1B35DD">
              <w:rPr>
                <w:sz w:val="22"/>
                <w:szCs w:val="22"/>
              </w:rPr>
              <w:t>%</w:t>
            </w:r>
          </w:p>
        </w:tc>
      </w:tr>
      <w:tr w:rsidR="00BB4C18" w:rsidRPr="004A5B2C" w:rsidTr="00953F9A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C18" w:rsidRPr="00953F9A" w:rsidRDefault="00BB4C18" w:rsidP="00BB4C18">
            <w:pPr>
              <w:rPr>
                <w:b/>
              </w:rPr>
            </w:pPr>
            <w:r w:rsidRPr="00953F9A">
              <w:rPr>
                <w:b/>
              </w:rPr>
              <w:t>сукупні витрати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2578BD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2578BD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 667,9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2578BD" w:rsidRDefault="00BB4C18" w:rsidP="00BB4C18">
            <w:pPr>
              <w:ind w:left="-208" w:right="-49"/>
              <w:jc w:val="right"/>
              <w:rPr>
                <w:b/>
                <w:sz w:val="22"/>
                <w:szCs w:val="22"/>
              </w:rPr>
            </w:pPr>
            <w:r w:rsidRPr="002578BD">
              <w:rPr>
                <w:b/>
                <w:sz w:val="22"/>
                <w:szCs w:val="22"/>
              </w:rPr>
              <w:t>21 879,7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67A13" w:rsidRDefault="00BB4C18" w:rsidP="00BB4C18">
            <w:pPr>
              <w:ind w:left="-208" w:right="-50"/>
              <w:jc w:val="right"/>
              <w:rPr>
                <w:b/>
                <w:sz w:val="22"/>
                <w:szCs w:val="22"/>
              </w:rPr>
            </w:pPr>
            <w:r w:rsidRPr="00E67A13">
              <w:rPr>
                <w:b/>
                <w:sz w:val="22"/>
                <w:szCs w:val="22"/>
              </w:rPr>
              <w:t>+</w:t>
            </w:r>
            <w:r>
              <w:rPr>
                <w:b/>
                <w:sz w:val="22"/>
                <w:szCs w:val="22"/>
              </w:rPr>
              <w:t>1,0</w:t>
            </w:r>
            <w:r w:rsidRPr="00E67A13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EE7BB7">
              <w:rPr>
                <w:b/>
                <w:sz w:val="22"/>
                <w:szCs w:val="22"/>
              </w:rPr>
              <w:t>6 593,2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EE7BB7">
              <w:rPr>
                <w:b/>
                <w:sz w:val="22"/>
                <w:szCs w:val="22"/>
              </w:rPr>
              <w:t>6 572,9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EE7BB7">
              <w:rPr>
                <w:b/>
                <w:sz w:val="22"/>
                <w:szCs w:val="22"/>
              </w:rPr>
              <w:t>-0,3%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28 261,1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13048F">
              <w:rPr>
                <w:b/>
                <w:sz w:val="22"/>
                <w:szCs w:val="22"/>
              </w:rPr>
              <w:t>28 452,6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B35DD" w:rsidRDefault="00BB4C18" w:rsidP="00BB4C18">
            <w:pPr>
              <w:ind w:left="-49"/>
              <w:jc w:val="right"/>
              <w:rPr>
                <w:b/>
                <w:sz w:val="22"/>
                <w:szCs w:val="22"/>
              </w:rPr>
            </w:pPr>
            <w:r w:rsidRPr="001B35DD">
              <w:rPr>
                <w:b/>
                <w:sz w:val="22"/>
                <w:szCs w:val="22"/>
              </w:rPr>
              <w:t>+0,7%</w:t>
            </w:r>
          </w:p>
        </w:tc>
      </w:tr>
      <w:tr w:rsidR="00BB4C18" w:rsidRPr="004A5B2C" w:rsidTr="00953F9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C18" w:rsidRPr="00953F9A" w:rsidRDefault="00BB4C18" w:rsidP="00BB4C18">
            <w:pPr>
              <w:rPr>
                <w:b/>
              </w:rPr>
            </w:pPr>
            <w:r w:rsidRPr="00953F9A">
              <w:rPr>
                <w:b/>
              </w:rPr>
              <w:t>сукупні прибутки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2578BD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2578BD">
              <w:rPr>
                <w:b/>
                <w:sz w:val="22"/>
                <w:szCs w:val="22"/>
              </w:rPr>
              <w:t>137,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2578BD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2578BD">
              <w:rPr>
                <w:b/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B31C9" w:rsidRDefault="00BB4C18" w:rsidP="00BB4C18">
            <w:pPr>
              <w:ind w:left="-208" w:right="-191"/>
              <w:jc w:val="center"/>
              <w:rPr>
                <w:b/>
                <w:sz w:val="22"/>
                <w:szCs w:val="22"/>
              </w:rPr>
            </w:pPr>
            <w:r w:rsidRPr="00FB31C9">
              <w:rPr>
                <w:b/>
                <w:sz w:val="22"/>
                <w:szCs w:val="22"/>
              </w:rPr>
              <w:t>+8</w:t>
            </w:r>
            <w:r>
              <w:rPr>
                <w:b/>
                <w:sz w:val="22"/>
                <w:szCs w:val="22"/>
              </w:rPr>
              <w:t>5</w:t>
            </w:r>
            <w:r w:rsidRPr="00FB31C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</w:t>
            </w:r>
            <w:r w:rsidRPr="00FB31C9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EE7BB7">
              <w:rPr>
                <w:b/>
                <w:sz w:val="22"/>
                <w:szCs w:val="22"/>
              </w:rPr>
              <w:t>19,5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EE7BB7">
              <w:rPr>
                <w:b/>
                <w:sz w:val="22"/>
                <w:szCs w:val="22"/>
              </w:rPr>
              <w:t>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EE7BB7">
              <w:rPr>
                <w:b/>
                <w:sz w:val="22"/>
                <w:szCs w:val="22"/>
              </w:rPr>
              <w:t>+66,7%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13048F">
              <w:rPr>
                <w:b/>
                <w:sz w:val="22"/>
                <w:szCs w:val="22"/>
              </w:rPr>
              <w:t>287,9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166ED" w:rsidRDefault="00BB4C18" w:rsidP="00BB4C18">
            <w:pPr>
              <w:ind w:left="-49"/>
              <w:jc w:val="right"/>
              <w:rPr>
                <w:b/>
                <w:sz w:val="22"/>
                <w:szCs w:val="22"/>
              </w:rPr>
            </w:pPr>
            <w:r w:rsidRPr="001166ED">
              <w:rPr>
                <w:b/>
                <w:sz w:val="22"/>
                <w:szCs w:val="22"/>
              </w:rPr>
              <w:t>+83,4%</w:t>
            </w:r>
          </w:p>
        </w:tc>
      </w:tr>
      <w:tr w:rsidR="00BB4C18" w:rsidRPr="004A5B2C" w:rsidTr="00953F9A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C18" w:rsidRPr="00953F9A" w:rsidRDefault="00BB4C18" w:rsidP="00BB4C18">
            <w:pPr>
              <w:rPr>
                <w:b/>
              </w:rPr>
            </w:pPr>
            <w:r w:rsidRPr="00953F9A">
              <w:rPr>
                <w:b/>
              </w:rPr>
              <w:t>сукупні збитки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2578BD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2578BD">
              <w:rPr>
                <w:b/>
                <w:sz w:val="22"/>
                <w:szCs w:val="22"/>
              </w:rPr>
              <w:t>2 308,9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2578BD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2578BD">
              <w:rPr>
                <w:b/>
                <w:sz w:val="22"/>
                <w:szCs w:val="22"/>
              </w:rPr>
              <w:t>1 193,0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FB31C9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FB31C9">
              <w:rPr>
                <w:b/>
                <w:sz w:val="22"/>
                <w:szCs w:val="22"/>
              </w:rPr>
              <w:t>-48,3%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center"/>
              <w:rPr>
                <w:b/>
                <w:sz w:val="22"/>
                <w:szCs w:val="22"/>
              </w:rPr>
            </w:pPr>
            <w:r w:rsidRPr="0013048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EE7BB7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EE7BB7">
              <w:rPr>
                <w:b/>
                <w:sz w:val="22"/>
                <w:szCs w:val="22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 w:right="-107"/>
              <w:jc w:val="center"/>
              <w:rPr>
                <w:b/>
                <w:sz w:val="22"/>
                <w:szCs w:val="22"/>
              </w:rPr>
            </w:pPr>
            <w:r w:rsidRPr="0013048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13048F">
              <w:rPr>
                <w:b/>
                <w:sz w:val="22"/>
                <w:szCs w:val="22"/>
              </w:rPr>
              <w:t>2 308,9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3048F" w:rsidRDefault="00BB4C18" w:rsidP="00BB4C18">
            <w:pPr>
              <w:ind w:left="-208"/>
              <w:jc w:val="right"/>
              <w:rPr>
                <w:b/>
                <w:sz w:val="22"/>
                <w:szCs w:val="22"/>
              </w:rPr>
            </w:pPr>
            <w:r w:rsidRPr="0013048F">
              <w:rPr>
                <w:b/>
                <w:sz w:val="22"/>
                <w:szCs w:val="22"/>
              </w:rPr>
              <w:t>1 195,4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C18" w:rsidRPr="001B35DD" w:rsidRDefault="00BB4C18" w:rsidP="00BB4C18">
            <w:pPr>
              <w:ind w:left="-49"/>
              <w:jc w:val="right"/>
              <w:rPr>
                <w:b/>
                <w:sz w:val="22"/>
                <w:szCs w:val="22"/>
              </w:rPr>
            </w:pPr>
            <w:r w:rsidRPr="001B35DD">
              <w:rPr>
                <w:b/>
                <w:sz w:val="22"/>
                <w:szCs w:val="22"/>
              </w:rPr>
              <w:t>-48,2%</w:t>
            </w:r>
          </w:p>
        </w:tc>
      </w:tr>
    </w:tbl>
    <w:p w:rsidR="00BB4C18" w:rsidRPr="00B413F3" w:rsidRDefault="00BB4C18" w:rsidP="00BB4C18">
      <w:pPr>
        <w:ind w:firstLine="851"/>
        <w:jc w:val="both"/>
        <w:rPr>
          <w:color w:val="FF0000"/>
          <w:sz w:val="16"/>
          <w:szCs w:val="16"/>
        </w:rPr>
      </w:pPr>
    </w:p>
    <w:p w:rsidR="00BB4C18" w:rsidRDefault="00BB4C18" w:rsidP="00BB4C18">
      <w:pPr>
        <w:ind w:firstLine="851"/>
        <w:jc w:val="both"/>
        <w:rPr>
          <w:sz w:val="28"/>
          <w:szCs w:val="28"/>
        </w:rPr>
      </w:pPr>
      <w:r w:rsidRPr="00B349A2">
        <w:rPr>
          <w:sz w:val="28"/>
          <w:szCs w:val="28"/>
        </w:rPr>
        <w:t>Як випливає з таблиці 6 комунальними підприємствами</w:t>
      </w:r>
      <w:r>
        <w:rPr>
          <w:sz w:val="28"/>
          <w:szCs w:val="28"/>
        </w:rPr>
        <w:t>, установами, організаціями</w:t>
      </w:r>
      <w:r w:rsidRPr="00B349A2">
        <w:rPr>
          <w:sz w:val="28"/>
          <w:szCs w:val="28"/>
        </w:rPr>
        <w:t xml:space="preserve"> районного підпорядкування планові показники по сукупним доходам не виконано</w:t>
      </w:r>
      <w:r>
        <w:rPr>
          <w:sz w:val="28"/>
          <w:szCs w:val="28"/>
        </w:rPr>
        <w:t xml:space="preserve"> </w:t>
      </w:r>
      <w:r w:rsidRPr="00B349A2">
        <w:rPr>
          <w:sz w:val="28"/>
          <w:szCs w:val="28"/>
        </w:rPr>
        <w:t>на 0,1 % та по сукупним витратам на 0,3 %.</w:t>
      </w:r>
      <w:r w:rsidRPr="004A5B2C">
        <w:rPr>
          <w:color w:val="FF0000"/>
          <w:sz w:val="28"/>
          <w:szCs w:val="28"/>
        </w:rPr>
        <w:t xml:space="preserve"> </w:t>
      </w:r>
      <w:r w:rsidRPr="00534FE8">
        <w:rPr>
          <w:sz w:val="28"/>
          <w:szCs w:val="28"/>
        </w:rPr>
        <w:t xml:space="preserve">При запланованому сукупному прибутку 19,5 </w:t>
      </w:r>
      <w:proofErr w:type="spellStart"/>
      <w:r w:rsidRPr="00534FE8">
        <w:rPr>
          <w:sz w:val="28"/>
          <w:szCs w:val="28"/>
        </w:rPr>
        <w:t>млн</w:t>
      </w:r>
      <w:proofErr w:type="spellEnd"/>
      <w:r w:rsidRPr="00534FE8">
        <w:rPr>
          <w:sz w:val="28"/>
          <w:szCs w:val="28"/>
        </w:rPr>
        <w:t xml:space="preserve"> </w:t>
      </w:r>
      <w:proofErr w:type="spellStart"/>
      <w:r w:rsidRPr="00534FE8">
        <w:rPr>
          <w:sz w:val="28"/>
          <w:szCs w:val="28"/>
        </w:rPr>
        <w:t>грн</w:t>
      </w:r>
      <w:proofErr w:type="spellEnd"/>
      <w:r w:rsidRPr="00534FE8">
        <w:rPr>
          <w:sz w:val="28"/>
          <w:szCs w:val="28"/>
        </w:rPr>
        <w:t xml:space="preserve"> фактично отримано </w:t>
      </w:r>
      <w:r>
        <w:rPr>
          <w:sz w:val="28"/>
          <w:szCs w:val="28"/>
        </w:rPr>
        <w:t xml:space="preserve">              </w:t>
      </w:r>
      <w:r w:rsidRPr="00534FE8">
        <w:rPr>
          <w:sz w:val="28"/>
          <w:szCs w:val="28"/>
        </w:rPr>
        <w:t xml:space="preserve">32,5 </w:t>
      </w:r>
      <w:proofErr w:type="spellStart"/>
      <w:r w:rsidRPr="00534FE8">
        <w:rPr>
          <w:sz w:val="28"/>
          <w:szCs w:val="28"/>
        </w:rPr>
        <w:t>млн</w:t>
      </w:r>
      <w:proofErr w:type="spellEnd"/>
      <w:r w:rsidRPr="00534FE8">
        <w:rPr>
          <w:sz w:val="28"/>
          <w:szCs w:val="28"/>
        </w:rPr>
        <w:t xml:space="preserve"> грн.</w:t>
      </w:r>
      <w:r w:rsidRPr="004A5B2C">
        <w:rPr>
          <w:color w:val="FF0000"/>
          <w:sz w:val="28"/>
          <w:szCs w:val="28"/>
        </w:rPr>
        <w:t xml:space="preserve"> </w:t>
      </w:r>
      <w:r w:rsidRPr="00C305D1">
        <w:rPr>
          <w:sz w:val="28"/>
          <w:szCs w:val="28"/>
        </w:rPr>
        <w:t>Значне перевиконання планових показників по чистому прибутку спостерігається у комунальних підприємствах «Керуючі компанії з обслуговування житлового фонду районів м</w:t>
      </w:r>
      <w:r>
        <w:rPr>
          <w:sz w:val="28"/>
          <w:szCs w:val="28"/>
        </w:rPr>
        <w:t>іста</w:t>
      </w:r>
      <w:r w:rsidRPr="00C305D1">
        <w:rPr>
          <w:sz w:val="28"/>
          <w:szCs w:val="28"/>
        </w:rPr>
        <w:t xml:space="preserve"> Києва», зазначених у</w:t>
      </w:r>
      <w:r>
        <w:rPr>
          <w:sz w:val="28"/>
          <w:szCs w:val="28"/>
        </w:rPr>
        <w:t xml:space="preserve">            </w:t>
      </w:r>
      <w:r w:rsidRPr="00C305D1">
        <w:rPr>
          <w:sz w:val="28"/>
          <w:szCs w:val="28"/>
        </w:rPr>
        <w:t xml:space="preserve"> таблиці 7.</w:t>
      </w:r>
    </w:p>
    <w:p w:rsidR="00953F9A" w:rsidRDefault="00953F9A" w:rsidP="00BB4C18">
      <w:pPr>
        <w:ind w:firstLine="851"/>
        <w:jc w:val="both"/>
        <w:rPr>
          <w:sz w:val="28"/>
          <w:szCs w:val="28"/>
        </w:rPr>
      </w:pPr>
    </w:p>
    <w:p w:rsidR="00953F9A" w:rsidRDefault="00953F9A" w:rsidP="00BB4C18">
      <w:pPr>
        <w:ind w:firstLine="851"/>
        <w:jc w:val="both"/>
        <w:rPr>
          <w:sz w:val="28"/>
          <w:szCs w:val="28"/>
        </w:rPr>
      </w:pPr>
    </w:p>
    <w:p w:rsidR="00BB4C18" w:rsidRDefault="00BB4C18" w:rsidP="00BB4C18">
      <w:pPr>
        <w:ind w:left="7645" w:firstLine="143"/>
        <w:jc w:val="both"/>
        <w:rPr>
          <w:sz w:val="28"/>
          <w:szCs w:val="28"/>
        </w:rPr>
      </w:pPr>
      <w:r w:rsidRPr="00B413F3">
        <w:rPr>
          <w:sz w:val="26"/>
          <w:szCs w:val="26"/>
        </w:rPr>
        <w:t xml:space="preserve">     </w:t>
      </w:r>
      <w:r w:rsidRPr="004152F2">
        <w:rPr>
          <w:sz w:val="28"/>
          <w:szCs w:val="28"/>
        </w:rPr>
        <w:t>Таблиця 7</w:t>
      </w:r>
    </w:p>
    <w:p w:rsidR="00953F9A" w:rsidRPr="004152F2" w:rsidRDefault="00953F9A" w:rsidP="00BB4C18">
      <w:pPr>
        <w:ind w:left="7645" w:firstLine="143"/>
        <w:jc w:val="both"/>
        <w:rPr>
          <w:sz w:val="28"/>
          <w:szCs w:val="28"/>
        </w:rPr>
      </w:pPr>
    </w:p>
    <w:p w:rsidR="00BB4C18" w:rsidRDefault="00BB4C18" w:rsidP="00BB4C18">
      <w:pPr>
        <w:jc w:val="center"/>
        <w:rPr>
          <w:b/>
          <w:sz w:val="26"/>
          <w:szCs w:val="26"/>
        </w:rPr>
      </w:pPr>
      <w:r w:rsidRPr="00B413F3">
        <w:rPr>
          <w:b/>
          <w:sz w:val="26"/>
          <w:szCs w:val="26"/>
        </w:rPr>
        <w:t>Показники чистого прибутку комунальних підприємств, переданих до сфери управління районних в місті Києві державних адміністрацій, за 2018 рік, передбачені їх затвердженими річними фінансовими планами, у порівнянні з фактичними показниками за 2018 рік</w:t>
      </w:r>
    </w:p>
    <w:p w:rsidR="00BB4C18" w:rsidRPr="00B413F3" w:rsidRDefault="00BB4C18" w:rsidP="00BB4C18">
      <w:pPr>
        <w:jc w:val="center"/>
        <w:rPr>
          <w:b/>
          <w:color w:val="FF0000"/>
          <w:sz w:val="26"/>
          <w:szCs w:val="26"/>
        </w:rPr>
      </w:pPr>
    </w:p>
    <w:p w:rsidR="00BB4C18" w:rsidRPr="00B413F3" w:rsidRDefault="00BB4C18" w:rsidP="00BB4C18">
      <w:pPr>
        <w:jc w:val="center"/>
        <w:rPr>
          <w:sz w:val="26"/>
          <w:szCs w:val="26"/>
        </w:rPr>
      </w:pPr>
      <w:r w:rsidRPr="00B413F3">
        <w:rPr>
          <w:b/>
          <w:color w:val="FF0000"/>
          <w:sz w:val="26"/>
          <w:szCs w:val="26"/>
        </w:rPr>
        <w:tab/>
      </w:r>
      <w:r w:rsidRPr="00B413F3">
        <w:rPr>
          <w:b/>
          <w:color w:val="FF0000"/>
          <w:sz w:val="26"/>
          <w:szCs w:val="26"/>
        </w:rPr>
        <w:tab/>
      </w:r>
      <w:r w:rsidRPr="00B413F3">
        <w:rPr>
          <w:b/>
          <w:color w:val="FF0000"/>
          <w:sz w:val="26"/>
          <w:szCs w:val="26"/>
        </w:rPr>
        <w:tab/>
      </w:r>
      <w:r w:rsidRPr="00B413F3">
        <w:rPr>
          <w:b/>
          <w:sz w:val="26"/>
          <w:szCs w:val="26"/>
        </w:rPr>
        <w:tab/>
      </w:r>
      <w:r w:rsidRPr="00B413F3">
        <w:rPr>
          <w:b/>
          <w:sz w:val="26"/>
          <w:szCs w:val="26"/>
        </w:rPr>
        <w:tab/>
      </w:r>
      <w:r w:rsidRPr="00B413F3">
        <w:rPr>
          <w:b/>
          <w:sz w:val="26"/>
          <w:szCs w:val="26"/>
        </w:rPr>
        <w:tab/>
      </w:r>
      <w:r w:rsidRPr="00B413F3">
        <w:rPr>
          <w:b/>
          <w:sz w:val="26"/>
          <w:szCs w:val="26"/>
        </w:rPr>
        <w:tab/>
      </w:r>
      <w:r w:rsidRPr="00B413F3">
        <w:rPr>
          <w:b/>
          <w:sz w:val="26"/>
          <w:szCs w:val="26"/>
        </w:rPr>
        <w:tab/>
      </w:r>
      <w:r w:rsidRPr="00B413F3">
        <w:rPr>
          <w:b/>
          <w:sz w:val="26"/>
          <w:szCs w:val="26"/>
        </w:rPr>
        <w:tab/>
      </w:r>
      <w:r w:rsidRPr="00B413F3">
        <w:rPr>
          <w:b/>
          <w:sz w:val="26"/>
          <w:szCs w:val="26"/>
        </w:rPr>
        <w:tab/>
      </w:r>
      <w:r w:rsidRPr="00B413F3">
        <w:rPr>
          <w:b/>
          <w:sz w:val="26"/>
          <w:szCs w:val="26"/>
        </w:rPr>
        <w:tab/>
        <w:t xml:space="preserve">       </w:t>
      </w:r>
      <w:r w:rsidRPr="00B413F3">
        <w:rPr>
          <w:sz w:val="26"/>
          <w:szCs w:val="26"/>
        </w:rPr>
        <w:t xml:space="preserve">тис. </w:t>
      </w:r>
      <w:proofErr w:type="spellStart"/>
      <w:r w:rsidRPr="00B413F3">
        <w:rPr>
          <w:sz w:val="26"/>
          <w:szCs w:val="26"/>
        </w:rPr>
        <w:t>грн</w:t>
      </w:r>
      <w:proofErr w:type="spell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276"/>
        <w:gridCol w:w="1275"/>
      </w:tblGrid>
      <w:tr w:rsidR="00BB4C18" w:rsidRPr="004152F2" w:rsidTr="00BB4C18">
        <w:tc>
          <w:tcPr>
            <w:tcW w:w="7196" w:type="dxa"/>
            <w:vMerge w:val="restart"/>
            <w:shd w:val="clear" w:color="auto" w:fill="auto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 xml:space="preserve">Назва підприємств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Чистий прибуток</w:t>
            </w:r>
          </w:p>
        </w:tc>
      </w:tr>
      <w:tr w:rsidR="00BB4C18" w:rsidRPr="004152F2" w:rsidTr="00BB4C18">
        <w:tc>
          <w:tcPr>
            <w:tcW w:w="7196" w:type="dxa"/>
            <w:vMerge/>
            <w:shd w:val="clear" w:color="auto" w:fill="auto"/>
          </w:tcPr>
          <w:p w:rsidR="00BB4C18" w:rsidRPr="004152F2" w:rsidRDefault="00BB4C18" w:rsidP="00BB4C18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276" w:type="dxa"/>
            <w:shd w:val="clear" w:color="auto" w:fill="auto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 xml:space="preserve">План на </w:t>
            </w:r>
          </w:p>
          <w:p w:rsidR="00BB4C18" w:rsidRPr="004152F2" w:rsidRDefault="00BB4C18" w:rsidP="00BB4C18">
            <w:pPr>
              <w:jc w:val="center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2018 рік</w:t>
            </w:r>
          </w:p>
        </w:tc>
        <w:tc>
          <w:tcPr>
            <w:tcW w:w="1275" w:type="dxa"/>
            <w:shd w:val="clear" w:color="auto" w:fill="auto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Факт за</w:t>
            </w:r>
          </w:p>
          <w:p w:rsidR="00BB4C18" w:rsidRPr="004152F2" w:rsidRDefault="00BB4C18" w:rsidP="00BB4C18">
            <w:pPr>
              <w:jc w:val="center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2018 рік</w:t>
            </w:r>
          </w:p>
        </w:tc>
      </w:tr>
      <w:tr w:rsidR="00BB4C18" w:rsidRPr="004152F2" w:rsidTr="00BB4C18">
        <w:tc>
          <w:tcPr>
            <w:tcW w:w="7196" w:type="dxa"/>
            <w:shd w:val="clear" w:color="auto" w:fill="auto"/>
          </w:tcPr>
          <w:p w:rsidR="00BB4C18" w:rsidRPr="004152F2" w:rsidRDefault="00BB4C18" w:rsidP="00BB4C18">
            <w:pPr>
              <w:jc w:val="both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Комунальне підприємство «Керуюча компанія з обслуговування житлового фонду Дніпровського району м. Києва»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3 655,0</w:t>
            </w:r>
          </w:p>
        </w:tc>
      </w:tr>
      <w:tr w:rsidR="00BB4C18" w:rsidRPr="004152F2" w:rsidTr="00BB4C18">
        <w:tc>
          <w:tcPr>
            <w:tcW w:w="7196" w:type="dxa"/>
            <w:shd w:val="clear" w:color="auto" w:fill="auto"/>
          </w:tcPr>
          <w:p w:rsidR="00BB4C18" w:rsidRPr="004152F2" w:rsidRDefault="00BB4C18" w:rsidP="00BB4C18">
            <w:pPr>
              <w:jc w:val="both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 xml:space="preserve">Комунальне підприємство «Керуюча компанія з обслуговування житлового фонду </w:t>
            </w:r>
            <w:proofErr w:type="spellStart"/>
            <w:r w:rsidRPr="004152F2">
              <w:rPr>
                <w:sz w:val="25"/>
                <w:szCs w:val="25"/>
              </w:rPr>
              <w:t>Солом</w:t>
            </w:r>
            <w:proofErr w:type="spellEnd"/>
            <w:r w:rsidRPr="004152F2">
              <w:rPr>
                <w:sz w:val="25"/>
                <w:szCs w:val="25"/>
                <w:lang w:val="ru-RU"/>
              </w:rPr>
              <w:t>’</w:t>
            </w:r>
            <w:proofErr w:type="spellStart"/>
            <w:r w:rsidRPr="004152F2">
              <w:rPr>
                <w:sz w:val="25"/>
                <w:szCs w:val="25"/>
              </w:rPr>
              <w:t>янського</w:t>
            </w:r>
            <w:proofErr w:type="spellEnd"/>
            <w:r w:rsidRPr="004152F2">
              <w:rPr>
                <w:sz w:val="25"/>
                <w:szCs w:val="25"/>
              </w:rPr>
              <w:t xml:space="preserve"> району м. Києва»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  <w:lang w:val="ru-RU"/>
              </w:rPr>
            </w:pPr>
            <w:r w:rsidRPr="004152F2">
              <w:rPr>
                <w:sz w:val="25"/>
                <w:szCs w:val="25"/>
                <w:lang w:val="ru-RU"/>
              </w:rPr>
              <w:t>485,0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7077,0</w:t>
            </w:r>
          </w:p>
        </w:tc>
      </w:tr>
      <w:tr w:rsidR="00BB4C18" w:rsidRPr="004152F2" w:rsidTr="00BB4C18">
        <w:tc>
          <w:tcPr>
            <w:tcW w:w="7196" w:type="dxa"/>
            <w:shd w:val="clear" w:color="auto" w:fill="auto"/>
          </w:tcPr>
          <w:p w:rsidR="00BB4C18" w:rsidRPr="004152F2" w:rsidRDefault="00BB4C18" w:rsidP="00BB4C18">
            <w:pPr>
              <w:jc w:val="both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Комунальне підприємство «Керуюча компанія з обслуговування житлового фонду Святошинського району м. Києва»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777,4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3 201,0</w:t>
            </w:r>
          </w:p>
        </w:tc>
      </w:tr>
      <w:tr w:rsidR="00BB4C18" w:rsidRPr="004152F2" w:rsidTr="00BB4C18">
        <w:tc>
          <w:tcPr>
            <w:tcW w:w="7196" w:type="dxa"/>
            <w:shd w:val="clear" w:color="auto" w:fill="auto"/>
          </w:tcPr>
          <w:p w:rsidR="00BB4C18" w:rsidRPr="004152F2" w:rsidRDefault="00BB4C18" w:rsidP="00BB4C18">
            <w:pPr>
              <w:jc w:val="both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 xml:space="preserve">Комунальне підприємство «Керуюча компанія з обслуговування житлового фонду </w:t>
            </w:r>
            <w:proofErr w:type="spellStart"/>
            <w:r w:rsidRPr="004152F2">
              <w:rPr>
                <w:sz w:val="25"/>
                <w:szCs w:val="25"/>
              </w:rPr>
              <w:t>Оболонського</w:t>
            </w:r>
            <w:proofErr w:type="spellEnd"/>
            <w:r w:rsidRPr="004152F2">
              <w:rPr>
                <w:sz w:val="25"/>
                <w:szCs w:val="25"/>
              </w:rPr>
              <w:t xml:space="preserve"> району м. Києва»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2400,0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4795,0</w:t>
            </w:r>
          </w:p>
        </w:tc>
      </w:tr>
      <w:tr w:rsidR="00BB4C18" w:rsidRPr="004152F2" w:rsidTr="00BB4C18">
        <w:tc>
          <w:tcPr>
            <w:tcW w:w="7196" w:type="dxa"/>
            <w:shd w:val="clear" w:color="auto" w:fill="auto"/>
          </w:tcPr>
          <w:p w:rsidR="00BB4C18" w:rsidRPr="004152F2" w:rsidRDefault="00BB4C18" w:rsidP="00BB4C18">
            <w:pPr>
              <w:jc w:val="both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Комунальне підприємство «Керуюча компанія з обслуговування житлового фонду Деснянського району м. Києва»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2607,6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3 629,0</w:t>
            </w:r>
          </w:p>
        </w:tc>
      </w:tr>
      <w:tr w:rsidR="00BB4C18" w:rsidRPr="004152F2" w:rsidTr="00BB4C18">
        <w:tc>
          <w:tcPr>
            <w:tcW w:w="7196" w:type="dxa"/>
            <w:shd w:val="clear" w:color="auto" w:fill="auto"/>
          </w:tcPr>
          <w:p w:rsidR="00BB4C18" w:rsidRPr="004152F2" w:rsidRDefault="00BB4C18" w:rsidP="00BB4C18">
            <w:pPr>
              <w:jc w:val="both"/>
              <w:rPr>
                <w:color w:val="FF0000"/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Комунальне підприємство «Керуюча компанія з обслуговування житлового фонду Шевченківського району м. Києва»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373,1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>761,0</w:t>
            </w:r>
          </w:p>
        </w:tc>
      </w:tr>
      <w:tr w:rsidR="00BB4C18" w:rsidRPr="004152F2" w:rsidTr="00BB4C18">
        <w:tc>
          <w:tcPr>
            <w:tcW w:w="7196" w:type="dxa"/>
            <w:shd w:val="clear" w:color="auto" w:fill="auto"/>
          </w:tcPr>
          <w:p w:rsidR="00BB4C18" w:rsidRPr="004152F2" w:rsidRDefault="00BB4C18" w:rsidP="00BB4C18">
            <w:pPr>
              <w:jc w:val="both"/>
              <w:rPr>
                <w:sz w:val="25"/>
                <w:szCs w:val="25"/>
              </w:rPr>
            </w:pPr>
            <w:r w:rsidRPr="004152F2">
              <w:rPr>
                <w:sz w:val="25"/>
                <w:szCs w:val="25"/>
              </w:rPr>
              <w:t xml:space="preserve">Комунальне підприємство «Керуюча компанія з обслуговування житлового фонду Печерського району </w:t>
            </w:r>
            <w:proofErr w:type="spellStart"/>
            <w:r w:rsidRPr="004152F2">
              <w:rPr>
                <w:sz w:val="25"/>
                <w:szCs w:val="25"/>
              </w:rPr>
              <w:t>м.Києва</w:t>
            </w:r>
            <w:proofErr w:type="spellEnd"/>
            <w:r w:rsidRPr="004152F2">
              <w:rPr>
                <w:sz w:val="25"/>
                <w:szCs w:val="25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  <w:lang w:val="ru-RU"/>
              </w:rPr>
            </w:pPr>
            <w:r w:rsidRPr="004152F2">
              <w:rPr>
                <w:sz w:val="25"/>
                <w:szCs w:val="25"/>
                <w:lang w:val="ru-RU"/>
              </w:rPr>
              <w:t>558,0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C18" w:rsidRPr="004152F2" w:rsidRDefault="00BB4C18" w:rsidP="00BB4C18">
            <w:pPr>
              <w:jc w:val="center"/>
              <w:rPr>
                <w:sz w:val="25"/>
                <w:szCs w:val="25"/>
                <w:lang w:val="ru-RU"/>
              </w:rPr>
            </w:pPr>
            <w:r w:rsidRPr="004152F2">
              <w:rPr>
                <w:sz w:val="25"/>
                <w:szCs w:val="25"/>
                <w:lang w:val="ru-RU"/>
              </w:rPr>
              <w:t>734,0</w:t>
            </w:r>
          </w:p>
        </w:tc>
      </w:tr>
    </w:tbl>
    <w:p w:rsidR="00BB4C18" w:rsidRPr="004152F2" w:rsidRDefault="00BB4C18" w:rsidP="00BB4C18">
      <w:pPr>
        <w:ind w:firstLine="851"/>
        <w:jc w:val="both"/>
        <w:rPr>
          <w:sz w:val="22"/>
          <w:szCs w:val="22"/>
        </w:rPr>
      </w:pPr>
    </w:p>
    <w:p w:rsidR="00BB4C18" w:rsidRPr="00B349A2" w:rsidRDefault="00BB4C18" w:rsidP="00BB4C18">
      <w:pPr>
        <w:ind w:firstLine="851"/>
        <w:jc w:val="both"/>
        <w:rPr>
          <w:sz w:val="28"/>
          <w:szCs w:val="28"/>
        </w:rPr>
      </w:pPr>
      <w:r w:rsidRPr="00B349A2">
        <w:rPr>
          <w:sz w:val="28"/>
          <w:szCs w:val="28"/>
        </w:rPr>
        <w:t>Окремі</w:t>
      </w:r>
      <w:r>
        <w:rPr>
          <w:sz w:val="28"/>
          <w:szCs w:val="28"/>
        </w:rPr>
        <w:t xml:space="preserve"> фактичні</w:t>
      </w:r>
      <w:r w:rsidRPr="00B349A2">
        <w:rPr>
          <w:sz w:val="28"/>
          <w:szCs w:val="28"/>
        </w:rPr>
        <w:t xml:space="preserve"> показники фінансово-господарської діяльності госпрозрахункових комунальних підприємств</w:t>
      </w:r>
      <w:r>
        <w:rPr>
          <w:sz w:val="28"/>
          <w:szCs w:val="28"/>
        </w:rPr>
        <w:t>,</w:t>
      </w:r>
      <w:r w:rsidRPr="00B349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 та </w:t>
      </w:r>
      <w:r w:rsidRPr="00B349A2">
        <w:rPr>
          <w:sz w:val="28"/>
          <w:szCs w:val="28"/>
        </w:rPr>
        <w:t>організацій територіальної громади м</w:t>
      </w:r>
      <w:r>
        <w:rPr>
          <w:sz w:val="28"/>
          <w:szCs w:val="28"/>
        </w:rPr>
        <w:t>іста</w:t>
      </w:r>
      <w:r w:rsidRPr="00B349A2">
        <w:rPr>
          <w:sz w:val="28"/>
          <w:szCs w:val="28"/>
        </w:rPr>
        <w:t xml:space="preserve"> Києва, що </w:t>
      </w:r>
      <w:r>
        <w:rPr>
          <w:sz w:val="28"/>
          <w:szCs w:val="28"/>
        </w:rPr>
        <w:t>передані до сфери управління</w:t>
      </w:r>
      <w:r w:rsidRPr="00B349A2">
        <w:rPr>
          <w:sz w:val="28"/>
          <w:szCs w:val="28"/>
        </w:rPr>
        <w:t xml:space="preserve"> районни</w:t>
      </w:r>
      <w:r>
        <w:rPr>
          <w:sz w:val="28"/>
          <w:szCs w:val="28"/>
        </w:rPr>
        <w:t>х</w:t>
      </w:r>
      <w:r w:rsidRPr="00B349A2">
        <w:rPr>
          <w:sz w:val="28"/>
          <w:szCs w:val="28"/>
        </w:rPr>
        <w:t xml:space="preserve"> в м</w:t>
      </w:r>
      <w:r>
        <w:rPr>
          <w:sz w:val="28"/>
          <w:szCs w:val="28"/>
        </w:rPr>
        <w:t>істі</w:t>
      </w:r>
      <w:r w:rsidRPr="00B349A2">
        <w:rPr>
          <w:sz w:val="28"/>
          <w:szCs w:val="28"/>
        </w:rPr>
        <w:t xml:space="preserve"> Києві державни</w:t>
      </w:r>
      <w:r>
        <w:rPr>
          <w:sz w:val="28"/>
          <w:szCs w:val="28"/>
        </w:rPr>
        <w:t>х адміністрацій</w:t>
      </w:r>
      <w:r w:rsidRPr="00B349A2">
        <w:rPr>
          <w:sz w:val="28"/>
          <w:szCs w:val="28"/>
        </w:rPr>
        <w:t>, за 2018 рік, в порівнянні з плановими показниками, передбачен</w:t>
      </w:r>
      <w:r>
        <w:rPr>
          <w:sz w:val="28"/>
          <w:szCs w:val="28"/>
        </w:rPr>
        <w:t>ими</w:t>
      </w:r>
      <w:r w:rsidRPr="00B349A2">
        <w:rPr>
          <w:sz w:val="28"/>
          <w:szCs w:val="28"/>
        </w:rPr>
        <w:t xml:space="preserve"> їх затвердженими річними фінансовими планами на 2018 рік, наведено в додатку 10.</w:t>
      </w:r>
    </w:p>
    <w:p w:rsidR="00BB4C18" w:rsidRPr="000E7C52" w:rsidRDefault="00BB4C18" w:rsidP="00BB4C18">
      <w:pPr>
        <w:ind w:firstLine="851"/>
        <w:jc w:val="both"/>
        <w:rPr>
          <w:sz w:val="28"/>
          <w:szCs w:val="28"/>
        </w:rPr>
      </w:pPr>
      <w:r w:rsidRPr="000E7C52">
        <w:rPr>
          <w:sz w:val="28"/>
          <w:szCs w:val="28"/>
        </w:rPr>
        <w:t>Окремі показники фінансово-господарської діяльності  госпрозрахункових  комунальних підприємств, установ та організацій за результатами фінансово-господарської діяльності за 2018 рік</w:t>
      </w:r>
      <w:r>
        <w:rPr>
          <w:sz w:val="28"/>
          <w:szCs w:val="28"/>
        </w:rPr>
        <w:t>, а також в порівнянні з показниками  2017 року</w:t>
      </w:r>
      <w:r w:rsidRPr="000E7C52">
        <w:rPr>
          <w:sz w:val="28"/>
          <w:szCs w:val="28"/>
        </w:rPr>
        <w:t xml:space="preserve"> додаються:</w:t>
      </w:r>
    </w:p>
    <w:p w:rsidR="00BB4C18" w:rsidRPr="000E7C52" w:rsidRDefault="00BB4C18" w:rsidP="00BB4C18">
      <w:pPr>
        <w:ind w:firstLine="851"/>
        <w:jc w:val="both"/>
        <w:rPr>
          <w:sz w:val="28"/>
          <w:szCs w:val="28"/>
        </w:rPr>
      </w:pPr>
      <w:r w:rsidRPr="000E7C52">
        <w:rPr>
          <w:sz w:val="28"/>
          <w:szCs w:val="28"/>
        </w:rPr>
        <w:t>-</w:t>
      </w:r>
      <w:r w:rsidRPr="000E7C52">
        <w:rPr>
          <w:sz w:val="28"/>
          <w:szCs w:val="28"/>
        </w:rPr>
        <w:tab/>
        <w:t>по підприємствах, організаціях, установах, підпорядкованих Київській міській раді, виконавчому органу Київської міської ради (Київській міській державній адміністрації) та його структурним підрозділам – в галузевому розрізі та за видами діяльності (додаток 11</w:t>
      </w:r>
      <w:r>
        <w:rPr>
          <w:sz w:val="28"/>
          <w:szCs w:val="28"/>
        </w:rPr>
        <w:t>, 13</w:t>
      </w:r>
      <w:r w:rsidRPr="000E7C52">
        <w:rPr>
          <w:sz w:val="28"/>
          <w:szCs w:val="28"/>
        </w:rPr>
        <w:t>);</w:t>
      </w:r>
    </w:p>
    <w:p w:rsidR="00731AA9" w:rsidRPr="00312DE0" w:rsidRDefault="00BB4C18" w:rsidP="00690AD1">
      <w:pPr>
        <w:ind w:firstLine="851"/>
        <w:jc w:val="both"/>
        <w:rPr>
          <w:sz w:val="28"/>
          <w:szCs w:val="28"/>
        </w:rPr>
      </w:pPr>
      <w:r w:rsidRPr="000E7C52">
        <w:rPr>
          <w:sz w:val="28"/>
          <w:szCs w:val="28"/>
        </w:rPr>
        <w:lastRenderedPageBreak/>
        <w:t>-</w:t>
      </w:r>
      <w:r w:rsidRPr="000E7C52">
        <w:rPr>
          <w:sz w:val="28"/>
          <w:szCs w:val="28"/>
        </w:rPr>
        <w:tab/>
        <w:t>по підприємствах, організаціях, установах, переданих до сфери                управління районних в місті Києві державних адміністрацій – в розрізі районів міста (додаток 1</w:t>
      </w:r>
      <w:r w:rsidRPr="000E7C52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, 14</w:t>
      </w:r>
      <w:r w:rsidRPr="000E7C52">
        <w:rPr>
          <w:sz w:val="28"/>
          <w:szCs w:val="28"/>
        </w:rPr>
        <w:t>).</w:t>
      </w:r>
    </w:p>
    <w:sectPr w:rsidR="00731AA9" w:rsidRPr="00312DE0" w:rsidSect="00B0611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CB3"/>
    <w:multiLevelType w:val="hybridMultilevel"/>
    <w:tmpl w:val="5F5A5DD2"/>
    <w:lvl w:ilvl="0" w:tplc="445E1A46">
      <w:start w:val="5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CC8600B"/>
    <w:multiLevelType w:val="hybridMultilevel"/>
    <w:tmpl w:val="DD9EA816"/>
    <w:lvl w:ilvl="0" w:tplc="B29E0F4A">
      <w:start w:val="5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2B9B0726"/>
    <w:multiLevelType w:val="hybridMultilevel"/>
    <w:tmpl w:val="A264467E"/>
    <w:lvl w:ilvl="0" w:tplc="4198CC34">
      <w:start w:val="279"/>
      <w:numFmt w:val="bullet"/>
      <w:lvlText w:val="–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C28159D"/>
    <w:multiLevelType w:val="hybridMultilevel"/>
    <w:tmpl w:val="ACDAB5D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3D3B42C8"/>
    <w:multiLevelType w:val="hybridMultilevel"/>
    <w:tmpl w:val="EA42ABFC"/>
    <w:lvl w:ilvl="0" w:tplc="AAB69538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D2C573C"/>
    <w:multiLevelType w:val="hybridMultilevel"/>
    <w:tmpl w:val="30F46A58"/>
    <w:lvl w:ilvl="0" w:tplc="6D1AE51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E942704"/>
    <w:multiLevelType w:val="hybridMultilevel"/>
    <w:tmpl w:val="E5929CE8"/>
    <w:lvl w:ilvl="0" w:tplc="9FF2B1DC">
      <w:start w:val="5"/>
      <w:numFmt w:val="bullet"/>
      <w:lvlText w:val="–"/>
      <w:lvlJc w:val="left"/>
      <w:pPr>
        <w:tabs>
          <w:tab w:val="num" w:pos="1976"/>
        </w:tabs>
        <w:ind w:left="1976" w:hanging="112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680F67AF"/>
    <w:multiLevelType w:val="hybridMultilevel"/>
    <w:tmpl w:val="602857A8"/>
    <w:lvl w:ilvl="0" w:tplc="A2FC2D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694F3B58"/>
    <w:multiLevelType w:val="hybridMultilevel"/>
    <w:tmpl w:val="707000C6"/>
    <w:lvl w:ilvl="0" w:tplc="10003756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3440"/>
    <w:rsid w:val="000022DD"/>
    <w:rsid w:val="00004AEA"/>
    <w:rsid w:val="0001024C"/>
    <w:rsid w:val="00010B98"/>
    <w:rsid w:val="00022E1A"/>
    <w:rsid w:val="0002675F"/>
    <w:rsid w:val="000547F0"/>
    <w:rsid w:val="000773AB"/>
    <w:rsid w:val="00082F4F"/>
    <w:rsid w:val="000919E4"/>
    <w:rsid w:val="000B1E17"/>
    <w:rsid w:val="000B22C8"/>
    <w:rsid w:val="000D64D8"/>
    <w:rsid w:val="000E3AF9"/>
    <w:rsid w:val="000E57FE"/>
    <w:rsid w:val="000F1BDB"/>
    <w:rsid w:val="00106E38"/>
    <w:rsid w:val="00112103"/>
    <w:rsid w:val="001167AE"/>
    <w:rsid w:val="00120F16"/>
    <w:rsid w:val="001238F9"/>
    <w:rsid w:val="00127E75"/>
    <w:rsid w:val="00134574"/>
    <w:rsid w:val="001538A3"/>
    <w:rsid w:val="00155E78"/>
    <w:rsid w:val="00161D30"/>
    <w:rsid w:val="00176A01"/>
    <w:rsid w:val="00190C57"/>
    <w:rsid w:val="001938A9"/>
    <w:rsid w:val="001A5679"/>
    <w:rsid w:val="001A620E"/>
    <w:rsid w:val="001A65E0"/>
    <w:rsid w:val="001B3D2E"/>
    <w:rsid w:val="001D54D1"/>
    <w:rsid w:val="001F207C"/>
    <w:rsid w:val="00201871"/>
    <w:rsid w:val="002106F7"/>
    <w:rsid w:val="00231AD3"/>
    <w:rsid w:val="002421DB"/>
    <w:rsid w:val="002507F7"/>
    <w:rsid w:val="0026005F"/>
    <w:rsid w:val="00280CD5"/>
    <w:rsid w:val="00291339"/>
    <w:rsid w:val="002920DB"/>
    <w:rsid w:val="002A4E5B"/>
    <w:rsid w:val="002B01DF"/>
    <w:rsid w:val="002B70FD"/>
    <w:rsid w:val="002D0277"/>
    <w:rsid w:val="002D53B1"/>
    <w:rsid w:val="002F2E5C"/>
    <w:rsid w:val="002F4657"/>
    <w:rsid w:val="0030588A"/>
    <w:rsid w:val="003101B3"/>
    <w:rsid w:val="00310361"/>
    <w:rsid w:val="00312514"/>
    <w:rsid w:val="00312DE0"/>
    <w:rsid w:val="003147E7"/>
    <w:rsid w:val="00315816"/>
    <w:rsid w:val="00327B38"/>
    <w:rsid w:val="00327D4E"/>
    <w:rsid w:val="00333070"/>
    <w:rsid w:val="003341BF"/>
    <w:rsid w:val="00341875"/>
    <w:rsid w:val="00342CD1"/>
    <w:rsid w:val="003458C8"/>
    <w:rsid w:val="00352411"/>
    <w:rsid w:val="003563EF"/>
    <w:rsid w:val="0035792C"/>
    <w:rsid w:val="00374448"/>
    <w:rsid w:val="00376439"/>
    <w:rsid w:val="003813D8"/>
    <w:rsid w:val="003926A5"/>
    <w:rsid w:val="00396215"/>
    <w:rsid w:val="003A1264"/>
    <w:rsid w:val="003A6AE6"/>
    <w:rsid w:val="003C3304"/>
    <w:rsid w:val="003D6B97"/>
    <w:rsid w:val="003E4AB7"/>
    <w:rsid w:val="0040572B"/>
    <w:rsid w:val="00406BC4"/>
    <w:rsid w:val="00411333"/>
    <w:rsid w:val="00430A5D"/>
    <w:rsid w:val="004374BE"/>
    <w:rsid w:val="00437EAB"/>
    <w:rsid w:val="00447F5A"/>
    <w:rsid w:val="004515F4"/>
    <w:rsid w:val="00452913"/>
    <w:rsid w:val="00453A05"/>
    <w:rsid w:val="00460CD4"/>
    <w:rsid w:val="004A03AE"/>
    <w:rsid w:val="004A3958"/>
    <w:rsid w:val="004B3F1B"/>
    <w:rsid w:val="004B45DA"/>
    <w:rsid w:val="004C6466"/>
    <w:rsid w:val="004F7DCF"/>
    <w:rsid w:val="00504252"/>
    <w:rsid w:val="00526069"/>
    <w:rsid w:val="00526685"/>
    <w:rsid w:val="00530264"/>
    <w:rsid w:val="0055201C"/>
    <w:rsid w:val="00556FF8"/>
    <w:rsid w:val="00581652"/>
    <w:rsid w:val="005A6199"/>
    <w:rsid w:val="005A6FFB"/>
    <w:rsid w:val="005A7311"/>
    <w:rsid w:val="005B60E0"/>
    <w:rsid w:val="005E2223"/>
    <w:rsid w:val="005F5F2E"/>
    <w:rsid w:val="00604F70"/>
    <w:rsid w:val="006210ED"/>
    <w:rsid w:val="006212E7"/>
    <w:rsid w:val="006406C1"/>
    <w:rsid w:val="00640A86"/>
    <w:rsid w:val="006444D3"/>
    <w:rsid w:val="00682094"/>
    <w:rsid w:val="006824F5"/>
    <w:rsid w:val="006876D0"/>
    <w:rsid w:val="00690AD1"/>
    <w:rsid w:val="006949A4"/>
    <w:rsid w:val="00696426"/>
    <w:rsid w:val="006B4597"/>
    <w:rsid w:val="006F1EAE"/>
    <w:rsid w:val="006F53DF"/>
    <w:rsid w:val="0070526B"/>
    <w:rsid w:val="00715026"/>
    <w:rsid w:val="00717A27"/>
    <w:rsid w:val="00725BA6"/>
    <w:rsid w:val="00726587"/>
    <w:rsid w:val="00731AA9"/>
    <w:rsid w:val="0073392B"/>
    <w:rsid w:val="00741AB2"/>
    <w:rsid w:val="0075490B"/>
    <w:rsid w:val="00763BF6"/>
    <w:rsid w:val="00774A52"/>
    <w:rsid w:val="00784EFC"/>
    <w:rsid w:val="00790612"/>
    <w:rsid w:val="00794BC2"/>
    <w:rsid w:val="00797CC0"/>
    <w:rsid w:val="007A1826"/>
    <w:rsid w:val="007B1827"/>
    <w:rsid w:val="007D0AA3"/>
    <w:rsid w:val="007D4FF1"/>
    <w:rsid w:val="007F7E90"/>
    <w:rsid w:val="00812F24"/>
    <w:rsid w:val="0081741B"/>
    <w:rsid w:val="00822E64"/>
    <w:rsid w:val="00832240"/>
    <w:rsid w:val="00844576"/>
    <w:rsid w:val="00851D26"/>
    <w:rsid w:val="00872337"/>
    <w:rsid w:val="0088331B"/>
    <w:rsid w:val="00892A04"/>
    <w:rsid w:val="00897CAA"/>
    <w:rsid w:val="008A4C0D"/>
    <w:rsid w:val="008A74B4"/>
    <w:rsid w:val="008E686B"/>
    <w:rsid w:val="008F4316"/>
    <w:rsid w:val="00900B1D"/>
    <w:rsid w:val="009270C9"/>
    <w:rsid w:val="009275B0"/>
    <w:rsid w:val="00934733"/>
    <w:rsid w:val="009364DB"/>
    <w:rsid w:val="009538DD"/>
    <w:rsid w:val="00953F9A"/>
    <w:rsid w:val="00955FC4"/>
    <w:rsid w:val="00962467"/>
    <w:rsid w:val="00967E69"/>
    <w:rsid w:val="00973D84"/>
    <w:rsid w:val="00983793"/>
    <w:rsid w:val="00996149"/>
    <w:rsid w:val="00996E0B"/>
    <w:rsid w:val="009A0820"/>
    <w:rsid w:val="009A4B74"/>
    <w:rsid w:val="009A565F"/>
    <w:rsid w:val="009C60D2"/>
    <w:rsid w:val="009D3BFD"/>
    <w:rsid w:val="009E5E25"/>
    <w:rsid w:val="00A00A35"/>
    <w:rsid w:val="00A02AAF"/>
    <w:rsid w:val="00A06C1C"/>
    <w:rsid w:val="00A22C7E"/>
    <w:rsid w:val="00A352DF"/>
    <w:rsid w:val="00A54EA5"/>
    <w:rsid w:val="00A6206D"/>
    <w:rsid w:val="00A65F53"/>
    <w:rsid w:val="00A715F1"/>
    <w:rsid w:val="00A72929"/>
    <w:rsid w:val="00A81276"/>
    <w:rsid w:val="00A864C0"/>
    <w:rsid w:val="00A97F0B"/>
    <w:rsid w:val="00AA7392"/>
    <w:rsid w:val="00AB242F"/>
    <w:rsid w:val="00AC02CD"/>
    <w:rsid w:val="00AC7015"/>
    <w:rsid w:val="00AD3798"/>
    <w:rsid w:val="00AF4E54"/>
    <w:rsid w:val="00B0552E"/>
    <w:rsid w:val="00B06117"/>
    <w:rsid w:val="00B06C40"/>
    <w:rsid w:val="00B650A5"/>
    <w:rsid w:val="00B653DA"/>
    <w:rsid w:val="00B75769"/>
    <w:rsid w:val="00B80534"/>
    <w:rsid w:val="00B832FD"/>
    <w:rsid w:val="00B94BCB"/>
    <w:rsid w:val="00BA2EBA"/>
    <w:rsid w:val="00BB3AC6"/>
    <w:rsid w:val="00BB4C18"/>
    <w:rsid w:val="00BB630C"/>
    <w:rsid w:val="00BC01DE"/>
    <w:rsid w:val="00BC2B4B"/>
    <w:rsid w:val="00BC3B17"/>
    <w:rsid w:val="00BC5DD7"/>
    <w:rsid w:val="00BD01E9"/>
    <w:rsid w:val="00BE53B8"/>
    <w:rsid w:val="00BE6E94"/>
    <w:rsid w:val="00BF33BE"/>
    <w:rsid w:val="00C024D6"/>
    <w:rsid w:val="00C10B51"/>
    <w:rsid w:val="00C139D3"/>
    <w:rsid w:val="00C14316"/>
    <w:rsid w:val="00C169A2"/>
    <w:rsid w:val="00C256C8"/>
    <w:rsid w:val="00C401E8"/>
    <w:rsid w:val="00C40234"/>
    <w:rsid w:val="00C4226B"/>
    <w:rsid w:val="00C64D6C"/>
    <w:rsid w:val="00C96CA0"/>
    <w:rsid w:val="00CA0F5F"/>
    <w:rsid w:val="00CA735F"/>
    <w:rsid w:val="00CB14A7"/>
    <w:rsid w:val="00CC4EA6"/>
    <w:rsid w:val="00CE1F97"/>
    <w:rsid w:val="00CE22C0"/>
    <w:rsid w:val="00CE514A"/>
    <w:rsid w:val="00D0156F"/>
    <w:rsid w:val="00D031F7"/>
    <w:rsid w:val="00D07074"/>
    <w:rsid w:val="00D10D06"/>
    <w:rsid w:val="00D11849"/>
    <w:rsid w:val="00D13CDD"/>
    <w:rsid w:val="00D25BD8"/>
    <w:rsid w:val="00D52149"/>
    <w:rsid w:val="00D61EE1"/>
    <w:rsid w:val="00D63D12"/>
    <w:rsid w:val="00D73440"/>
    <w:rsid w:val="00D75375"/>
    <w:rsid w:val="00D76193"/>
    <w:rsid w:val="00DB4249"/>
    <w:rsid w:val="00DE2FDB"/>
    <w:rsid w:val="00E055F0"/>
    <w:rsid w:val="00E079F8"/>
    <w:rsid w:val="00E41D98"/>
    <w:rsid w:val="00E522A1"/>
    <w:rsid w:val="00E5735D"/>
    <w:rsid w:val="00E57CCD"/>
    <w:rsid w:val="00E81199"/>
    <w:rsid w:val="00E9159F"/>
    <w:rsid w:val="00EA166B"/>
    <w:rsid w:val="00EA30CD"/>
    <w:rsid w:val="00EC1904"/>
    <w:rsid w:val="00EC62E2"/>
    <w:rsid w:val="00ED0785"/>
    <w:rsid w:val="00EF4CB1"/>
    <w:rsid w:val="00F173DC"/>
    <w:rsid w:val="00F26308"/>
    <w:rsid w:val="00F279F4"/>
    <w:rsid w:val="00F31D02"/>
    <w:rsid w:val="00F41E63"/>
    <w:rsid w:val="00F4682D"/>
    <w:rsid w:val="00F54B58"/>
    <w:rsid w:val="00F60584"/>
    <w:rsid w:val="00F63D80"/>
    <w:rsid w:val="00F6675E"/>
    <w:rsid w:val="00F72633"/>
    <w:rsid w:val="00F8711C"/>
    <w:rsid w:val="00FB01BA"/>
    <w:rsid w:val="00FB26F2"/>
    <w:rsid w:val="00FB4FAD"/>
    <w:rsid w:val="00FB62EE"/>
    <w:rsid w:val="00FC3D47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18"/>
    <w:pPr>
      <w:spacing w:after="0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B4C18"/>
    <w:pPr>
      <w:keepNext/>
      <w:outlineLvl w:val="0"/>
    </w:pPr>
    <w:rPr>
      <w:b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B4C18"/>
    <w:rPr>
      <w:rFonts w:ascii="Times New Roman" w:eastAsia="Calibri" w:hAnsi="Times New Roman" w:cs="Times New Roman"/>
      <w:b/>
      <w:sz w:val="28"/>
      <w:szCs w:val="20"/>
      <w:lang w:val="uk-UA" w:eastAsia="uk-UA"/>
    </w:rPr>
  </w:style>
  <w:style w:type="paragraph" w:styleId="a3">
    <w:name w:val="header"/>
    <w:basedOn w:val="a"/>
    <w:link w:val="a4"/>
    <w:uiPriority w:val="99"/>
    <w:rsid w:val="00BB4C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4C18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5">
    <w:name w:val="page number"/>
    <w:rsid w:val="00BB4C18"/>
    <w:rPr>
      <w:rFonts w:cs="Times New Roman"/>
    </w:rPr>
  </w:style>
  <w:style w:type="paragraph" w:styleId="a6">
    <w:name w:val="footer"/>
    <w:basedOn w:val="a"/>
    <w:link w:val="a7"/>
    <w:uiPriority w:val="99"/>
    <w:rsid w:val="00BB4C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4C18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FR2">
    <w:name w:val="FR2"/>
    <w:rsid w:val="00BB4C18"/>
    <w:pPr>
      <w:widowControl w:val="0"/>
      <w:snapToGrid w:val="0"/>
      <w:spacing w:before="340" w:after="0"/>
    </w:pPr>
    <w:rPr>
      <w:rFonts w:ascii="Arial" w:eastAsia="Calibri" w:hAnsi="Arial" w:cs="Times New Roman"/>
      <w:sz w:val="18"/>
      <w:szCs w:val="20"/>
      <w:lang w:eastAsia="ru-RU"/>
    </w:rPr>
  </w:style>
  <w:style w:type="character" w:styleId="a8">
    <w:name w:val="Hyperlink"/>
    <w:rsid w:val="00BB4C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rsid w:val="00BB4C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4C18"/>
    <w:rPr>
      <w:rFonts w:ascii="Tahoma" w:eastAsia="Calibri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703D-304B-4AEC-B891-911A7D17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2666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2019-04-05T07:48:00Z</cp:lastPrinted>
  <dcterms:created xsi:type="dcterms:W3CDTF">2019-04-05T07:17:00Z</dcterms:created>
  <dcterms:modified xsi:type="dcterms:W3CDTF">2019-04-05T07:50:00Z</dcterms:modified>
</cp:coreProperties>
</file>