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0E80" w14:textId="35D48B81" w:rsidR="000D36EE" w:rsidRDefault="00C12451" w:rsidP="00F61D1F">
      <w:pPr>
        <w:spacing w:before="280" w:after="280" w:line="240" w:lineRule="auto"/>
        <w:jc w:val="both"/>
        <w:rPr>
          <w:b/>
        </w:rPr>
      </w:pPr>
      <w:r w:rsidRPr="00C12451">
        <w:rPr>
          <w:bCs/>
        </w:rPr>
        <w:t>Головний спеціаліст відділу оцінки управління моніторингу Департаменту комунальної власності м.</w:t>
      </w:r>
      <w:r>
        <w:rPr>
          <w:bCs/>
        </w:rPr>
        <w:t> </w:t>
      </w:r>
      <w:r w:rsidRPr="00C12451">
        <w:rPr>
          <w:bCs/>
        </w:rPr>
        <w:t>Києва виконавчого органу Київської міської ради (Київської міської державної адміністрації)</w:t>
      </w:r>
    </w:p>
    <w:tbl>
      <w:tblPr>
        <w:tblStyle w:val="af2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662"/>
      </w:tblGrid>
      <w:tr w:rsidR="000D36EE" w14:paraId="65B0D200" w14:textId="77777777" w:rsidTr="000313E5">
        <w:tc>
          <w:tcPr>
            <w:tcW w:w="2972" w:type="dxa"/>
          </w:tcPr>
          <w:p w14:paraId="2CC0296E" w14:textId="77777777" w:rsidR="000D36EE" w:rsidRDefault="003D3237">
            <w:pPr>
              <w:spacing w:line="276" w:lineRule="auto"/>
            </w:pPr>
            <w:r>
              <w:t>Назва вакансії</w:t>
            </w:r>
          </w:p>
        </w:tc>
        <w:tc>
          <w:tcPr>
            <w:tcW w:w="6662" w:type="dxa"/>
          </w:tcPr>
          <w:p w14:paraId="63022E23" w14:textId="77777777" w:rsidR="000D36EE" w:rsidRDefault="001E3908">
            <w:r>
              <w:t>Головний спеціаліст</w:t>
            </w:r>
          </w:p>
        </w:tc>
      </w:tr>
      <w:tr w:rsidR="000D36EE" w14:paraId="72C09DB3" w14:textId="77777777" w:rsidTr="000313E5">
        <w:tc>
          <w:tcPr>
            <w:tcW w:w="2972" w:type="dxa"/>
          </w:tcPr>
          <w:p w14:paraId="4B75294F" w14:textId="77777777" w:rsidR="000D36EE" w:rsidRDefault="003D3237">
            <w:pPr>
              <w:spacing w:line="276" w:lineRule="auto"/>
            </w:pPr>
            <w:r>
              <w:t>Назва структурного підрозділу</w:t>
            </w:r>
          </w:p>
        </w:tc>
        <w:tc>
          <w:tcPr>
            <w:tcW w:w="6662" w:type="dxa"/>
          </w:tcPr>
          <w:p w14:paraId="68BE9756" w14:textId="77777777" w:rsidR="000D36EE" w:rsidRDefault="001E3908">
            <w:r>
              <w:t>Відділ оцінки</w:t>
            </w:r>
            <w:r w:rsidR="00CE75E6">
              <w:t xml:space="preserve"> управління моніторингу</w:t>
            </w:r>
          </w:p>
        </w:tc>
      </w:tr>
      <w:tr w:rsidR="000D36EE" w14:paraId="576DFB16" w14:textId="77777777" w:rsidTr="000313E5">
        <w:tc>
          <w:tcPr>
            <w:tcW w:w="2972" w:type="dxa"/>
          </w:tcPr>
          <w:p w14:paraId="626EC599" w14:textId="77777777" w:rsidR="000D36EE" w:rsidRDefault="003D3237">
            <w:pPr>
              <w:spacing w:line="276" w:lineRule="auto"/>
            </w:pPr>
            <w:r>
              <w:t>Напрям роботи структурного підрозділу</w:t>
            </w:r>
          </w:p>
        </w:tc>
        <w:tc>
          <w:tcPr>
            <w:tcW w:w="6662" w:type="dxa"/>
          </w:tcPr>
          <w:p w14:paraId="4E9F7C3C" w14:textId="6F4C24F5" w:rsidR="000D36EE" w:rsidRDefault="001E3908">
            <w:r>
              <w:t>З</w:t>
            </w:r>
            <w:r w:rsidRPr="008F30F4">
              <w:t>абезпечення проведення оцінки об’єктів права комунальної власності територіальної громади м.</w:t>
            </w:r>
            <w:r w:rsidR="001F61AA">
              <w:t> </w:t>
            </w:r>
            <w:r w:rsidRPr="008F30F4">
              <w:t>Києва щодо яких прийнято рішення про відчуження, передачу до статутних фондів господарських товариств, які створюються за у</w:t>
            </w:r>
            <w:r>
              <w:t>частю територіальної громади м. </w:t>
            </w:r>
            <w:r w:rsidRPr="008F30F4">
              <w:t>Києва, та інших випадках, передбачених чинним законодавством України</w:t>
            </w:r>
          </w:p>
        </w:tc>
      </w:tr>
      <w:tr w:rsidR="000D36EE" w14:paraId="30D11540" w14:textId="77777777" w:rsidTr="000313E5">
        <w:tc>
          <w:tcPr>
            <w:tcW w:w="2972" w:type="dxa"/>
          </w:tcPr>
          <w:p w14:paraId="31466D69" w14:textId="77777777" w:rsidR="000D36EE" w:rsidRDefault="003D3237">
            <w:pPr>
              <w:spacing w:line="276" w:lineRule="auto"/>
            </w:pPr>
            <w:r>
              <w:t xml:space="preserve">Розмір оплати праці </w:t>
            </w:r>
          </w:p>
        </w:tc>
        <w:tc>
          <w:tcPr>
            <w:tcW w:w="6662" w:type="dxa"/>
          </w:tcPr>
          <w:p w14:paraId="75E016A1" w14:textId="48530245" w:rsidR="000D36EE" w:rsidRPr="001E3908" w:rsidRDefault="00CE75E6">
            <w:r>
              <w:t xml:space="preserve">від </w:t>
            </w:r>
            <w:r w:rsidR="00AB4178" w:rsidRPr="00AB4178">
              <w:t>23994</w:t>
            </w:r>
            <w:r w:rsidR="001E3908" w:rsidRPr="00AB4178">
              <w:t>,00</w:t>
            </w:r>
          </w:p>
        </w:tc>
      </w:tr>
      <w:tr w:rsidR="000D36EE" w14:paraId="10D70D67" w14:textId="77777777" w:rsidTr="000313E5">
        <w:tc>
          <w:tcPr>
            <w:tcW w:w="2972" w:type="dxa"/>
          </w:tcPr>
          <w:p w14:paraId="60290E57" w14:textId="77777777" w:rsidR="000D36EE" w:rsidRDefault="003D3237">
            <w:pPr>
              <w:spacing w:line="276" w:lineRule="auto"/>
            </w:pPr>
            <w:r>
              <w:t>Категорія посади державної служби</w:t>
            </w:r>
          </w:p>
        </w:tc>
        <w:tc>
          <w:tcPr>
            <w:tcW w:w="6662" w:type="dxa"/>
          </w:tcPr>
          <w:p w14:paraId="2218147F" w14:textId="77777777" w:rsidR="000D36EE" w:rsidRDefault="001E3908">
            <w:r>
              <w:t>В</w:t>
            </w:r>
          </w:p>
        </w:tc>
      </w:tr>
      <w:tr w:rsidR="000D36EE" w14:paraId="0B5386FB" w14:textId="77777777" w:rsidTr="000313E5">
        <w:tc>
          <w:tcPr>
            <w:tcW w:w="2972" w:type="dxa"/>
          </w:tcPr>
          <w:p w14:paraId="2529E3EA" w14:textId="77777777" w:rsidR="000D36EE" w:rsidRDefault="003D3237">
            <w:pPr>
              <w:spacing w:line="276" w:lineRule="auto"/>
            </w:pPr>
            <w:r>
              <w:t>Класифікаційний код посади</w:t>
            </w:r>
          </w:p>
        </w:tc>
        <w:tc>
          <w:tcPr>
            <w:tcW w:w="6662" w:type="dxa"/>
          </w:tcPr>
          <w:p w14:paraId="53194406" w14:textId="77777777" w:rsidR="000D36EE" w:rsidRPr="001E3908" w:rsidRDefault="001E3908">
            <w:pPr>
              <w:rPr>
                <w:lang w:val="en-US"/>
              </w:rPr>
            </w:pPr>
            <w:r>
              <w:t>22-</w:t>
            </w:r>
            <w:r>
              <w:rPr>
                <w:lang w:val="en-US"/>
              </w:rPr>
              <w:t>VII-2</w:t>
            </w:r>
          </w:p>
        </w:tc>
      </w:tr>
      <w:tr w:rsidR="000D36EE" w14:paraId="699EBDB3" w14:textId="77777777" w:rsidTr="000313E5">
        <w:tc>
          <w:tcPr>
            <w:tcW w:w="2972" w:type="dxa"/>
          </w:tcPr>
          <w:p w14:paraId="1E6DF4C5" w14:textId="77777777" w:rsidR="000D36EE" w:rsidRDefault="003D3237">
            <w:pPr>
              <w:spacing w:line="276" w:lineRule="auto"/>
            </w:pPr>
            <w:r>
              <w:t>Обов`язкові вимоги до кандидата/кандидатки</w:t>
            </w:r>
          </w:p>
        </w:tc>
        <w:tc>
          <w:tcPr>
            <w:tcW w:w="6662" w:type="dxa"/>
          </w:tcPr>
          <w:p w14:paraId="7B53FC22" w14:textId="77777777" w:rsidR="003D3237" w:rsidRDefault="003D3237" w:rsidP="001E3908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громадянство України;</w:t>
            </w:r>
          </w:p>
          <w:p w14:paraId="5FFCAAFF" w14:textId="77777777" w:rsidR="003D3237" w:rsidRPr="000313E5" w:rsidRDefault="003D3237" w:rsidP="001E3908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313E5" w:rsidRPr="000313E5">
              <w:rPr>
                <w:color w:val="000000"/>
                <w:sz w:val="28"/>
                <w:szCs w:val="28"/>
              </w:rPr>
              <w:t>вища освіта не нижче ступеня бакалавра</w:t>
            </w:r>
            <w:r w:rsidR="000313E5" w:rsidRPr="000313E5">
              <w:rPr>
                <w:sz w:val="28"/>
                <w:szCs w:val="28"/>
              </w:rPr>
              <w:t>;</w:t>
            </w:r>
          </w:p>
          <w:p w14:paraId="504B08D5" w14:textId="25072B68" w:rsidR="000D36EE" w:rsidRPr="00AB4178" w:rsidRDefault="000313E5" w:rsidP="000313E5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0313E5">
              <w:rPr>
                <w:sz w:val="28"/>
                <w:szCs w:val="28"/>
              </w:rPr>
              <w:t>- вільне володіння державною мовою;</w:t>
            </w:r>
          </w:p>
        </w:tc>
      </w:tr>
      <w:tr w:rsidR="000D36EE" w14:paraId="48ACD5A9" w14:textId="77777777" w:rsidTr="000313E5">
        <w:tc>
          <w:tcPr>
            <w:tcW w:w="2972" w:type="dxa"/>
          </w:tcPr>
          <w:p w14:paraId="09E07291" w14:textId="77777777" w:rsidR="000D36EE" w:rsidRDefault="003D3237">
            <w:pPr>
              <w:spacing w:line="276" w:lineRule="auto"/>
            </w:pPr>
            <w:r>
              <w:t>Посадові обов`язки</w:t>
            </w:r>
          </w:p>
        </w:tc>
        <w:tc>
          <w:tcPr>
            <w:tcW w:w="6662" w:type="dxa"/>
          </w:tcPr>
          <w:p w14:paraId="18574A4E" w14:textId="77777777" w:rsidR="000313E5" w:rsidRDefault="000313E5" w:rsidP="00CE75E6">
            <w:pPr>
              <w:pStyle w:val="af3"/>
              <w:spacing w:line="240" w:lineRule="auto"/>
              <w:ind w:right="275" w:firstLine="172"/>
              <w:jc w:val="both"/>
              <w:textAlignment w:val="auto"/>
              <w:rPr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- у</w:t>
            </w:r>
            <w:r w:rsidRPr="00D1592B">
              <w:rPr>
                <w:sz w:val="28"/>
                <w:szCs w:val="28"/>
                <w:lang w:val="uk-UA"/>
              </w:rPr>
              <w:t>часть у підготовці та проведенні конкурсів з відбору суб’єктів оціночної діяльності – суб’єктів господарювання, моніторинг даних щодо діяльності суб’єктів оціночної діяльності – учасників конкурсів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7DDB169C" w14:textId="77777777" w:rsidR="00AB4178" w:rsidRDefault="000313E5" w:rsidP="00AB4178">
            <w:pPr>
              <w:pStyle w:val="af3"/>
              <w:spacing w:line="240" w:lineRule="auto"/>
              <w:ind w:right="275" w:firstLine="172"/>
              <w:jc w:val="both"/>
              <w:textAlignment w:val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</w:t>
            </w:r>
            <w:r w:rsidRPr="00D1592B">
              <w:rPr>
                <w:sz w:val="28"/>
                <w:szCs w:val="28"/>
                <w:lang w:val="uk-UA"/>
              </w:rPr>
              <w:t>еревірка вихідних даних, необхідних для проведення незалежної оцінки майна у випадках, передбачених законодавством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048DEF45" w14:textId="1FB02A3D" w:rsidR="00AB4178" w:rsidRPr="00AB4178" w:rsidRDefault="00AB4178" w:rsidP="00AB4178">
            <w:pPr>
              <w:pStyle w:val="af3"/>
              <w:spacing w:line="240" w:lineRule="auto"/>
              <w:ind w:right="275" w:firstLine="172"/>
              <w:jc w:val="both"/>
              <w:textAlignment w:val="auto"/>
              <w:rPr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- у</w:t>
            </w:r>
            <w:r w:rsidRPr="000D6224">
              <w:rPr>
                <w:color w:val="auto"/>
                <w:sz w:val="28"/>
                <w:szCs w:val="28"/>
                <w:lang w:val="uk-UA"/>
              </w:rPr>
              <w:t>часть у розробленні нормативних актів з питань, що пов’язані з виконанням відділом своїх функціональних обов’язків</w:t>
            </w:r>
            <w:r>
              <w:rPr>
                <w:color w:val="auto"/>
                <w:sz w:val="28"/>
                <w:szCs w:val="28"/>
                <w:lang w:val="uk-UA"/>
              </w:rPr>
              <w:t>;</w:t>
            </w:r>
          </w:p>
          <w:p w14:paraId="7DD5F73D" w14:textId="77777777" w:rsidR="00AB4178" w:rsidRDefault="00AB4178" w:rsidP="00AB4178">
            <w:pPr>
              <w:pStyle w:val="af3"/>
              <w:widowControl/>
              <w:numPr>
                <w:ilvl w:val="0"/>
                <w:numId w:val="4"/>
              </w:numPr>
              <w:suppressLineNumbers/>
              <w:suppressAutoHyphens/>
              <w:spacing w:line="240" w:lineRule="auto"/>
              <w:ind w:left="30" w:firstLine="142"/>
              <w:jc w:val="both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</w:t>
            </w:r>
            <w:r w:rsidRPr="000D6224">
              <w:rPr>
                <w:color w:val="auto"/>
                <w:sz w:val="28"/>
                <w:szCs w:val="28"/>
                <w:lang w:val="uk-UA"/>
              </w:rPr>
              <w:t>ідготовка та подання проєктів відповідей на запити і звернення народних депутатів України, депутатів місцевих рад, звернень громадян, підприємств, установ та організацій з питань, що належать до повноважень відділу</w:t>
            </w:r>
            <w:r>
              <w:rPr>
                <w:color w:val="auto"/>
                <w:sz w:val="28"/>
                <w:szCs w:val="28"/>
                <w:lang w:val="uk-UA"/>
              </w:rPr>
              <w:t>;</w:t>
            </w:r>
          </w:p>
          <w:p w14:paraId="6F595519" w14:textId="3B594137" w:rsidR="00AB4178" w:rsidRDefault="00AB4178" w:rsidP="00AB4178">
            <w:pPr>
              <w:pStyle w:val="af3"/>
              <w:widowControl/>
              <w:numPr>
                <w:ilvl w:val="0"/>
                <w:numId w:val="4"/>
              </w:numPr>
              <w:suppressLineNumbers/>
              <w:suppressAutoHyphens/>
              <w:spacing w:line="240" w:lineRule="auto"/>
              <w:ind w:left="30" w:firstLine="142"/>
              <w:jc w:val="both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ф</w:t>
            </w:r>
            <w:r w:rsidRPr="00AB4178">
              <w:rPr>
                <w:color w:val="auto"/>
                <w:sz w:val="28"/>
                <w:szCs w:val="28"/>
                <w:lang w:val="uk-UA"/>
              </w:rPr>
              <w:t>ормування та ведення електронної бази даних в частині оцінки нерухомого майна комунальної власності територіальної громади міста Києва, моніторинг внесених даних</w:t>
            </w:r>
            <w:r>
              <w:rPr>
                <w:color w:val="auto"/>
                <w:sz w:val="28"/>
                <w:szCs w:val="28"/>
                <w:lang w:val="uk-UA"/>
              </w:rPr>
              <w:t>;</w:t>
            </w:r>
          </w:p>
          <w:p w14:paraId="365DD9DC" w14:textId="0D1A92F4" w:rsidR="000313E5" w:rsidRDefault="00AB4178" w:rsidP="00AB4178">
            <w:pPr>
              <w:pStyle w:val="af3"/>
              <w:widowControl/>
              <w:numPr>
                <w:ilvl w:val="0"/>
                <w:numId w:val="4"/>
              </w:numPr>
              <w:suppressLineNumbers/>
              <w:suppressAutoHyphens/>
              <w:spacing w:line="240" w:lineRule="auto"/>
              <w:ind w:left="30" w:firstLine="142"/>
              <w:jc w:val="both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AB4178">
              <w:rPr>
                <w:color w:val="auto"/>
                <w:sz w:val="28"/>
                <w:szCs w:val="28"/>
                <w:lang w:val="uk-UA"/>
              </w:rPr>
              <w:t xml:space="preserve">участь у проведенні моніторингу щодо використання майна комунальної власності </w:t>
            </w:r>
            <w:r w:rsidRPr="00AB4178">
              <w:rPr>
                <w:color w:val="auto"/>
                <w:sz w:val="28"/>
                <w:szCs w:val="28"/>
                <w:lang w:val="uk-UA"/>
              </w:rPr>
              <w:lastRenderedPageBreak/>
              <w:t>територіальної громади міста Києва, у здійсненні контрольних функцій у сфері оренди комунального майна територіальної громади міста Києва, яке перебуває на балансі комунальних підприємств, установ, організацій, закладів, підпорядкованих структурним підрозділам виконавчого органу Київради (КМДА) та районним в м. Києві державним адміністраціям, за дорученням заступника директора – начальника управління моніторингу. За результатами здійснених з виїздом на місце обстежень (перевірок) використання об’єктів комунальної власності міста Києва, складання і підписання відповідних актів та здійснення перевірки внесених в електронну базу даних, контроль усунення виявлених порушень</w:t>
            </w:r>
            <w:r>
              <w:rPr>
                <w:color w:val="auto"/>
                <w:sz w:val="28"/>
                <w:szCs w:val="28"/>
                <w:lang w:val="uk-UA"/>
              </w:rPr>
              <w:t>;</w:t>
            </w:r>
          </w:p>
          <w:p w14:paraId="3127386F" w14:textId="100ED09D" w:rsidR="00AB4178" w:rsidRPr="00AB4178" w:rsidRDefault="00AB4178" w:rsidP="00AB4178">
            <w:pPr>
              <w:pStyle w:val="af3"/>
              <w:widowControl/>
              <w:numPr>
                <w:ilvl w:val="0"/>
                <w:numId w:val="4"/>
              </w:numPr>
              <w:suppressLineNumbers/>
              <w:suppressAutoHyphens/>
              <w:spacing w:line="240" w:lineRule="auto"/>
              <w:ind w:left="30" w:firstLine="142"/>
              <w:jc w:val="both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виконання інших доручень керівництва Департаменту відділу.</w:t>
            </w:r>
          </w:p>
        </w:tc>
      </w:tr>
      <w:tr w:rsidR="000D36EE" w14:paraId="5FE27479" w14:textId="77777777" w:rsidTr="000313E5">
        <w:tc>
          <w:tcPr>
            <w:tcW w:w="2972" w:type="dxa"/>
          </w:tcPr>
          <w:p w14:paraId="298D9E58" w14:textId="77777777" w:rsidR="000D36EE" w:rsidRDefault="003D3237" w:rsidP="00515F60">
            <w:r>
              <w:lastRenderedPageBreak/>
              <w:t>Що буде перевагою кандидата/кандидатки</w:t>
            </w:r>
          </w:p>
        </w:tc>
        <w:tc>
          <w:tcPr>
            <w:tcW w:w="6662" w:type="dxa"/>
          </w:tcPr>
          <w:p w14:paraId="254C0D99" w14:textId="1835867A" w:rsidR="0008066D" w:rsidRPr="0008066D" w:rsidRDefault="0008066D" w:rsidP="0008066D">
            <w:r>
              <w:t>Навички п</w:t>
            </w:r>
            <w:r w:rsidRPr="0008066D">
              <w:t>роведення планових і позапланових перевірок орендарів.</w:t>
            </w:r>
          </w:p>
          <w:p w14:paraId="71B27D93" w14:textId="77777777" w:rsidR="0008066D" w:rsidRPr="0008066D" w:rsidRDefault="0008066D" w:rsidP="0008066D">
            <w:r w:rsidRPr="0008066D">
              <w:t>Аналіз виконання умов договорів оренди.</w:t>
            </w:r>
          </w:p>
          <w:p w14:paraId="67885CD2" w14:textId="77777777" w:rsidR="0008066D" w:rsidRPr="0008066D" w:rsidRDefault="0008066D" w:rsidP="0008066D">
            <w:r w:rsidRPr="0008066D">
              <w:t>Здійснення розрахунків орендної плати та перевірка правильності її нарахування.</w:t>
            </w:r>
          </w:p>
          <w:p w14:paraId="755DDE32" w14:textId="77777777" w:rsidR="0008066D" w:rsidRPr="0008066D" w:rsidRDefault="0008066D" w:rsidP="0008066D">
            <w:r w:rsidRPr="0008066D">
              <w:t>Контроль цільового використання об’єктів комунального майна.</w:t>
            </w:r>
          </w:p>
          <w:p w14:paraId="2D22124F" w14:textId="77777777" w:rsidR="0008066D" w:rsidRPr="0008066D" w:rsidRDefault="0008066D" w:rsidP="0008066D">
            <w:r w:rsidRPr="0008066D">
              <w:t>Підготовка актів перевірок, довідок, службових записок.</w:t>
            </w:r>
          </w:p>
          <w:p w14:paraId="100A189E" w14:textId="6DA9E182" w:rsidR="0008066D" w:rsidRDefault="0008066D" w:rsidP="0008066D">
            <w:r w:rsidRPr="0008066D">
              <w:t xml:space="preserve">Вміння </w:t>
            </w:r>
            <w:proofErr w:type="spellStart"/>
            <w:r w:rsidRPr="0008066D">
              <w:t>професійно</w:t>
            </w:r>
            <w:proofErr w:type="spellEnd"/>
            <w:r w:rsidRPr="0008066D">
              <w:t xml:space="preserve"> готувати службові листи, запити, відповіді та інші офіційні документи з дотриманням норм ділового мовлення та вимог законодавства.</w:t>
            </w:r>
          </w:p>
          <w:p w14:paraId="225A90C6" w14:textId="77777777" w:rsidR="0008066D" w:rsidRPr="0008066D" w:rsidRDefault="0008066D" w:rsidP="0008066D">
            <w:r w:rsidRPr="0008066D">
              <w:t>Робота з електронними базами даних та реєстрами (внесення, опрацювання, аналіз інформації).</w:t>
            </w:r>
          </w:p>
          <w:p w14:paraId="0770B45B" w14:textId="77777777" w:rsidR="0008066D" w:rsidRPr="0008066D" w:rsidRDefault="0008066D" w:rsidP="0008066D">
            <w:r w:rsidRPr="0008066D">
              <w:t>Впевнене користування Microsoft Excel (таблиці, формули, розрахунки) та Microsoft Word (підготовка службових документів).</w:t>
            </w:r>
          </w:p>
          <w:p w14:paraId="390069AA" w14:textId="338D5A51" w:rsidR="00515F60" w:rsidRPr="0008066D" w:rsidRDefault="0008066D" w:rsidP="0008066D">
            <w:pPr>
              <w:pStyle w:val="ae"/>
              <w:spacing w:before="0" w:beforeAutospacing="0" w:after="0" w:afterAutospacing="0"/>
              <w:rPr>
                <w:sz w:val="28"/>
                <w:szCs w:val="28"/>
                <w:highlight w:val="yellow"/>
              </w:rPr>
            </w:pPr>
            <w:r w:rsidRPr="0008066D">
              <w:rPr>
                <w:sz w:val="28"/>
                <w:szCs w:val="28"/>
              </w:rPr>
              <w:t>Взаємодія з балансоутримувачами та іншими учасниками орендних відносин.</w:t>
            </w:r>
          </w:p>
        </w:tc>
      </w:tr>
      <w:tr w:rsidR="000D36EE" w14:paraId="0086E371" w14:textId="77777777" w:rsidTr="000313E5">
        <w:tc>
          <w:tcPr>
            <w:tcW w:w="2972" w:type="dxa"/>
          </w:tcPr>
          <w:p w14:paraId="0D9B3E5F" w14:textId="77777777" w:rsidR="000D36EE" w:rsidRDefault="003D3237">
            <w:pPr>
              <w:spacing w:line="276" w:lineRule="auto"/>
            </w:pPr>
            <w:r>
              <w:t>Очікування щодо особистих якостей кандидата/кандидатки</w:t>
            </w:r>
          </w:p>
        </w:tc>
        <w:tc>
          <w:tcPr>
            <w:tcW w:w="6662" w:type="dxa"/>
          </w:tcPr>
          <w:p w14:paraId="1BCD4D24" w14:textId="288BA4A3" w:rsidR="0008066D" w:rsidRDefault="0008066D" w:rsidP="0008066D">
            <w:r>
              <w:t>Організованість та дисциплінованість.</w:t>
            </w:r>
          </w:p>
          <w:p w14:paraId="1037D643" w14:textId="04A3E52C" w:rsidR="00A50CA3" w:rsidRDefault="00A50CA3" w:rsidP="0008066D">
            <w:r w:rsidRPr="00A50CA3">
              <w:t>Мобільність та готовність до регулярних виїзних перевірок.</w:t>
            </w:r>
          </w:p>
          <w:p w14:paraId="7D0F5B0F" w14:textId="77777777" w:rsidR="0008066D" w:rsidRDefault="0008066D" w:rsidP="0008066D">
            <w:r>
              <w:t>Об’єктивність та неупередженість під час проведення перевірок.</w:t>
            </w:r>
          </w:p>
          <w:p w14:paraId="1FE8272D" w14:textId="372894ED" w:rsidR="0008066D" w:rsidRDefault="0008066D" w:rsidP="0008066D">
            <w:r>
              <w:t>Уміння працювати з великим обсягом інформації.</w:t>
            </w:r>
          </w:p>
          <w:p w14:paraId="2AE62AA1" w14:textId="07520E79" w:rsidR="0008066D" w:rsidRDefault="0008066D" w:rsidP="0008066D">
            <w:r>
              <w:t xml:space="preserve">Здатність до роботи </w:t>
            </w:r>
            <w:r w:rsidRPr="0008066D">
              <w:t>з електронними базами даних та реєстрами</w:t>
            </w:r>
            <w:r>
              <w:t>.</w:t>
            </w:r>
          </w:p>
          <w:p w14:paraId="5FF7321B" w14:textId="77777777" w:rsidR="0008066D" w:rsidRDefault="0008066D" w:rsidP="0008066D">
            <w:r>
              <w:t>Здатність приймати виважені рішення.</w:t>
            </w:r>
          </w:p>
          <w:p w14:paraId="1C29E3BE" w14:textId="77777777" w:rsidR="0008066D" w:rsidRDefault="0008066D" w:rsidP="0008066D">
            <w:r>
              <w:t>Дотримання службової етики та конфіденційності.</w:t>
            </w:r>
          </w:p>
          <w:p w14:paraId="17B47205" w14:textId="0D009A97" w:rsidR="000D36EE" w:rsidRPr="00AB4178" w:rsidRDefault="0008066D" w:rsidP="00BC7882">
            <w:pPr>
              <w:rPr>
                <w:highlight w:val="yellow"/>
              </w:rPr>
            </w:pPr>
            <w:r>
              <w:lastRenderedPageBreak/>
              <w:t xml:space="preserve">Ініціативність та орієнтація на результат. </w:t>
            </w:r>
            <w:proofErr w:type="spellStart"/>
            <w:r>
              <w:t>Стресостійкість</w:t>
            </w:r>
            <w:proofErr w:type="spellEnd"/>
            <w:r>
              <w:t>, комунікабельність</w:t>
            </w:r>
            <w:r w:rsidR="00BC7882">
              <w:t xml:space="preserve"> та в</w:t>
            </w:r>
            <w:r>
              <w:t>ідповідальність.</w:t>
            </w:r>
          </w:p>
        </w:tc>
      </w:tr>
      <w:tr w:rsidR="000D36EE" w14:paraId="2CF4E228" w14:textId="77777777" w:rsidTr="000313E5">
        <w:tc>
          <w:tcPr>
            <w:tcW w:w="2972" w:type="dxa"/>
          </w:tcPr>
          <w:p w14:paraId="51D00D50" w14:textId="77777777" w:rsidR="000D36EE" w:rsidRDefault="003D3237">
            <w:pPr>
              <w:spacing w:line="276" w:lineRule="auto"/>
            </w:pPr>
            <w:r>
              <w:lastRenderedPageBreak/>
              <w:t>Умови праці, що пропонуються</w:t>
            </w:r>
          </w:p>
        </w:tc>
        <w:tc>
          <w:tcPr>
            <w:tcW w:w="6662" w:type="dxa"/>
          </w:tcPr>
          <w:p w14:paraId="359B96CC" w14:textId="1985CFF3" w:rsidR="000D36EE" w:rsidRPr="00CE75E6" w:rsidRDefault="00CE75E6">
            <w:r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t>1. Повна зайнятість.</w:t>
            </w:r>
            <w:r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br/>
              <w:t>2.</w:t>
            </w:r>
            <w:r w:rsidRPr="00CE75E6">
              <w:rPr>
                <w:color w:val="000000"/>
                <w:shd w:val="clear" w:color="auto" w:fill="FFFFFF"/>
              </w:rPr>
              <w:t> </w:t>
            </w:r>
            <w:r w:rsidR="00AB4178"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t>Відпустка від 30 календарних днів на рік.</w:t>
            </w:r>
            <w:r w:rsidR="00AB4178"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br/>
            </w:r>
            <w:r w:rsidR="00AB4178">
              <w:rPr>
                <w:color w:val="000000"/>
                <w:bdr w:val="none" w:sz="0" w:space="0" w:color="auto" w:frame="1"/>
                <w:shd w:val="clear" w:color="auto" w:fill="FFFFFF"/>
              </w:rPr>
              <w:t>3</w:t>
            </w:r>
            <w:r w:rsidR="00AB4178"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t>.</w:t>
            </w:r>
            <w:r w:rsidR="00AB4178" w:rsidRPr="00CE75E6">
              <w:rPr>
                <w:color w:val="000000"/>
                <w:shd w:val="clear" w:color="auto" w:fill="FFFFFF"/>
              </w:rPr>
              <w:t> </w:t>
            </w:r>
            <w:r w:rsidR="00AB4178"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t>Оплачувані лікарняні.</w:t>
            </w:r>
            <w:r w:rsidR="00AB4178"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br/>
            </w:r>
            <w:r w:rsidR="00AB4178">
              <w:rPr>
                <w:color w:val="000000"/>
                <w:bdr w:val="none" w:sz="0" w:space="0" w:color="auto" w:frame="1"/>
                <w:shd w:val="clear" w:color="auto" w:fill="FFFFFF"/>
              </w:rPr>
              <w:t>4</w:t>
            </w:r>
            <w:r w:rsidR="00AB4178"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t>. Постійне навчання та підвищення рівня кваліфікації.</w:t>
            </w:r>
          </w:p>
        </w:tc>
      </w:tr>
      <w:tr w:rsidR="000D36EE" w14:paraId="6E041042" w14:textId="77777777" w:rsidTr="000313E5">
        <w:tc>
          <w:tcPr>
            <w:tcW w:w="2972" w:type="dxa"/>
          </w:tcPr>
          <w:p w14:paraId="4994EE66" w14:textId="77777777" w:rsidR="000D36EE" w:rsidRDefault="003D3237">
            <w:pPr>
              <w:spacing w:line="276" w:lineRule="auto"/>
            </w:pPr>
            <w:r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6662" w:type="dxa"/>
          </w:tcPr>
          <w:p w14:paraId="718A9F09" w14:textId="77777777" w:rsidR="000D36EE" w:rsidRDefault="000313E5">
            <w:r>
              <w:t>2026110</w:t>
            </w:r>
            <w:r w:rsidR="003D3237">
              <w:t xml:space="preserve">, </w:t>
            </w:r>
            <w:proofErr w:type="spellStart"/>
            <w:r w:rsidR="003D3237">
              <w:t>Гаращук</w:t>
            </w:r>
            <w:proofErr w:type="spellEnd"/>
            <w:r w:rsidR="003D3237">
              <w:t xml:space="preserve"> Ольга Петрівна</w:t>
            </w:r>
          </w:p>
        </w:tc>
      </w:tr>
      <w:tr w:rsidR="000D36EE" w14:paraId="72A18539" w14:textId="77777777" w:rsidTr="000313E5">
        <w:tc>
          <w:tcPr>
            <w:tcW w:w="2972" w:type="dxa"/>
          </w:tcPr>
          <w:p w14:paraId="2CF094B6" w14:textId="77777777" w:rsidR="000D36EE" w:rsidRDefault="003D3237">
            <w:pPr>
              <w:spacing w:line="276" w:lineRule="auto"/>
            </w:pPr>
            <w:r>
              <w:t>Е-пошта, на яку необхідно відправляти резюме</w:t>
            </w:r>
          </w:p>
        </w:tc>
        <w:tc>
          <w:tcPr>
            <w:tcW w:w="6662" w:type="dxa"/>
          </w:tcPr>
          <w:p w14:paraId="2485D0C7" w14:textId="77777777" w:rsidR="000313E5" w:rsidRPr="000313E5" w:rsidRDefault="000313E5" w:rsidP="000313E5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3CA720C9" w14:textId="77777777" w:rsidR="000D36EE" w:rsidRDefault="000313E5" w:rsidP="000313E5">
            <w:r w:rsidRPr="000313E5">
              <w:t xml:space="preserve"> property@kyivcity.gov.ua</w:t>
            </w:r>
          </w:p>
        </w:tc>
      </w:tr>
      <w:tr w:rsidR="000D36EE" w14:paraId="3FFB02C6" w14:textId="77777777" w:rsidTr="000313E5">
        <w:tc>
          <w:tcPr>
            <w:tcW w:w="2972" w:type="dxa"/>
          </w:tcPr>
          <w:p w14:paraId="3980E37A" w14:textId="77777777" w:rsidR="000D36EE" w:rsidRDefault="003D3237">
            <w:pPr>
              <w:spacing w:line="276" w:lineRule="auto"/>
              <w:rPr>
                <w:b/>
              </w:rPr>
            </w:pPr>
            <w:r>
              <w:rPr>
                <w:b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6662" w:type="dxa"/>
          </w:tcPr>
          <w:p w14:paraId="20A39E42" w14:textId="77777777" w:rsidR="000D36EE" w:rsidRDefault="000313E5">
            <w:r>
              <w:t xml:space="preserve">2026110 - </w:t>
            </w:r>
            <w:proofErr w:type="spellStart"/>
            <w:r>
              <w:t>Гаращук</w:t>
            </w:r>
            <w:proofErr w:type="spellEnd"/>
            <w:r>
              <w:t xml:space="preserve"> Ольга Петрівна</w:t>
            </w:r>
          </w:p>
        </w:tc>
      </w:tr>
    </w:tbl>
    <w:p w14:paraId="1BA633A2" w14:textId="77777777" w:rsidR="000D36EE" w:rsidRDefault="000D36EE"/>
    <w:sectPr w:rsidR="000D36E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6F0B"/>
    <w:multiLevelType w:val="hybridMultilevel"/>
    <w:tmpl w:val="B82ADD40"/>
    <w:lvl w:ilvl="0" w:tplc="58566D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60367"/>
    <w:multiLevelType w:val="hybridMultilevel"/>
    <w:tmpl w:val="AD90DBF2"/>
    <w:lvl w:ilvl="0" w:tplc="6764F69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53E826B0"/>
    <w:multiLevelType w:val="hybridMultilevel"/>
    <w:tmpl w:val="C2CEFFB0"/>
    <w:lvl w:ilvl="0" w:tplc="FE3A8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12272"/>
    <w:multiLevelType w:val="hybridMultilevel"/>
    <w:tmpl w:val="7F4867B0"/>
    <w:lvl w:ilvl="0" w:tplc="C7D60C7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12968">
    <w:abstractNumId w:val="0"/>
  </w:num>
  <w:num w:numId="2" w16cid:durableId="238901685">
    <w:abstractNumId w:val="3"/>
  </w:num>
  <w:num w:numId="3" w16cid:durableId="2083722962">
    <w:abstractNumId w:val="1"/>
  </w:num>
  <w:num w:numId="4" w16cid:durableId="177083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6EE"/>
    <w:rsid w:val="000313E5"/>
    <w:rsid w:val="0008066D"/>
    <w:rsid w:val="000D36EE"/>
    <w:rsid w:val="000E6187"/>
    <w:rsid w:val="0010598F"/>
    <w:rsid w:val="001E3908"/>
    <w:rsid w:val="001F61AA"/>
    <w:rsid w:val="001F75BC"/>
    <w:rsid w:val="002C4A9E"/>
    <w:rsid w:val="003D3237"/>
    <w:rsid w:val="00515F60"/>
    <w:rsid w:val="006E7F56"/>
    <w:rsid w:val="0073170B"/>
    <w:rsid w:val="008172C4"/>
    <w:rsid w:val="00A50CA3"/>
    <w:rsid w:val="00AB4178"/>
    <w:rsid w:val="00BC7882"/>
    <w:rsid w:val="00C12451"/>
    <w:rsid w:val="00CE75E6"/>
    <w:rsid w:val="00DA22E5"/>
    <w:rsid w:val="00DF6E60"/>
    <w:rsid w:val="00F6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6D1E"/>
  <w15:docId w15:val="{7FE7F2B8-5256-4321-87EF-2B242C6E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F6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CE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CE5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DF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="Aptos" w:eastAsia="Aptos" w:hAnsi="Aptos" w:cs="Aptos"/>
      <w:color w:val="595959"/>
    </w:rPr>
  </w:style>
  <w:style w:type="character" w:customStyle="1" w:styleId="a6">
    <w:name w:val="Підзаголовок Знак"/>
    <w:basedOn w:val="a0"/>
    <w:link w:val="a5"/>
    <w:uiPriority w:val="11"/>
    <w:rsid w:val="00DF6CE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DF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6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CE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C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6CE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6CE5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nhideWhenUsed/>
    <w:rsid w:val="00DF6CE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DF6CE5"/>
    <w:rPr>
      <w:b/>
      <w:bCs/>
    </w:rPr>
  </w:style>
  <w:style w:type="character" w:styleId="af0">
    <w:name w:val="Hyperlink"/>
    <w:basedOn w:val="a0"/>
    <w:uiPriority w:val="99"/>
    <w:semiHidden/>
    <w:unhideWhenUsed/>
    <w:rsid w:val="00DF6CE5"/>
    <w:rPr>
      <w:color w:val="0000FF"/>
      <w:u w:val="single"/>
    </w:rPr>
  </w:style>
  <w:style w:type="table" w:styleId="af1">
    <w:name w:val="Table Grid"/>
    <w:basedOn w:val="a1"/>
    <w:uiPriority w:val="39"/>
    <w:rsid w:val="00DF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3">
    <w:name w:val="[Немає стилю абзацу]"/>
    <w:uiPriority w:val="99"/>
    <w:rsid w:val="000313E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Default">
    <w:name w:val="Default"/>
    <w:rsid w:val="000313E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f+yf7BoyOrEfcfswAoE+YkDMw==">CgMxLjA4AHIhMTR6VHQ0QWdpMlRFZnZpaHBsemlITDVqZ2VURnVyMTB1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2829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Олександра Сергіївна</dc:creator>
  <cp:lastModifiedBy>Елена О. Гринченко</cp:lastModifiedBy>
  <cp:revision>2</cp:revision>
  <dcterms:created xsi:type="dcterms:W3CDTF">2026-03-04T12:35:00Z</dcterms:created>
  <dcterms:modified xsi:type="dcterms:W3CDTF">2026-03-04T12:35:00Z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2024-06-12T09:22:45Z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74060e38-db64-4f93-95de-3119659d60ef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0x010100142344FFB1D9DA48854B8C3F0D36A31A</vt:lpwstr>
  </property>
</Properties>
</file>