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4DB2" w14:textId="77777777" w:rsidR="00F74BEC" w:rsidRDefault="00F74BEC" w:rsidP="00F74BEC">
      <w:pPr>
        <w:spacing w:before="280" w:after="280" w:line="240" w:lineRule="auto"/>
        <w:jc w:val="both"/>
        <w:rPr>
          <w:bCs/>
        </w:rPr>
      </w:pPr>
      <w:r>
        <w:rPr>
          <w:bCs/>
        </w:rPr>
        <w:t xml:space="preserve">Головний спеціаліст </w:t>
      </w:r>
      <w:r>
        <w:t>з питань внутрішнього аудиту</w:t>
      </w:r>
      <w:r>
        <w:rPr>
          <w:bCs/>
        </w:rPr>
        <w:t xml:space="preserve"> Департаменту комунальної власності м. Києва виконавчого органу Київської міської ради (Київської міської державної адміністрації)</w:t>
      </w:r>
    </w:p>
    <w:tbl>
      <w:tblPr>
        <w:tblStyle w:val="af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62"/>
      </w:tblGrid>
      <w:tr w:rsidR="000D36EE" w14:paraId="7BB16065" w14:textId="77777777" w:rsidTr="000313E5">
        <w:tc>
          <w:tcPr>
            <w:tcW w:w="2972" w:type="dxa"/>
          </w:tcPr>
          <w:p w14:paraId="2F32456F" w14:textId="77777777" w:rsidR="000D36EE" w:rsidRDefault="003D3237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6662" w:type="dxa"/>
          </w:tcPr>
          <w:p w14:paraId="369E8DC4" w14:textId="77777777" w:rsidR="000D36EE" w:rsidRDefault="00900E8A">
            <w:r>
              <w:t>г</w:t>
            </w:r>
            <w:r w:rsidR="001E3908">
              <w:t>оловний спеціаліст</w:t>
            </w:r>
          </w:p>
        </w:tc>
      </w:tr>
      <w:tr w:rsidR="000D36EE" w14:paraId="64F7111E" w14:textId="77777777" w:rsidTr="000313E5">
        <w:tc>
          <w:tcPr>
            <w:tcW w:w="2972" w:type="dxa"/>
          </w:tcPr>
          <w:p w14:paraId="5ECBF016" w14:textId="77777777" w:rsidR="000D36EE" w:rsidRDefault="003D3237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6662" w:type="dxa"/>
          </w:tcPr>
          <w:p w14:paraId="50C65D53" w14:textId="77777777" w:rsidR="000D36EE" w:rsidRDefault="00900E8A">
            <w:r>
              <w:t>з питань внутрішнього аудиту</w:t>
            </w:r>
          </w:p>
        </w:tc>
      </w:tr>
      <w:tr w:rsidR="000D36EE" w14:paraId="12BD357F" w14:textId="77777777" w:rsidTr="000313E5">
        <w:tc>
          <w:tcPr>
            <w:tcW w:w="2972" w:type="dxa"/>
          </w:tcPr>
          <w:p w14:paraId="75588F2D" w14:textId="77777777" w:rsidR="000D36EE" w:rsidRDefault="003D3237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6662" w:type="dxa"/>
          </w:tcPr>
          <w:p w14:paraId="6179A509" w14:textId="77777777" w:rsidR="000D36EE" w:rsidRDefault="00900E8A">
            <w:r>
              <w:t>з</w:t>
            </w:r>
            <w:r w:rsidRPr="00EC7187">
              <w:t xml:space="preserve">дійснення організації роботи </w:t>
            </w:r>
            <w:r>
              <w:t>внутрішнього аудиту у Департаменті</w:t>
            </w:r>
          </w:p>
        </w:tc>
      </w:tr>
      <w:tr w:rsidR="000D36EE" w14:paraId="08517F44" w14:textId="77777777" w:rsidTr="000313E5">
        <w:tc>
          <w:tcPr>
            <w:tcW w:w="2972" w:type="dxa"/>
          </w:tcPr>
          <w:p w14:paraId="7FB9F9D6" w14:textId="77777777" w:rsidR="000D36EE" w:rsidRDefault="003D3237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6662" w:type="dxa"/>
          </w:tcPr>
          <w:p w14:paraId="1CB2897F" w14:textId="65BEF60B" w:rsidR="000D36EE" w:rsidRPr="001E3908" w:rsidRDefault="00CE75E6">
            <w:r>
              <w:t xml:space="preserve">від </w:t>
            </w:r>
            <w:r w:rsidR="009512C7">
              <w:t>31000</w:t>
            </w:r>
            <w:r w:rsidR="001E3908">
              <w:t>,00</w:t>
            </w:r>
          </w:p>
        </w:tc>
      </w:tr>
      <w:tr w:rsidR="000D36EE" w14:paraId="4E48C304" w14:textId="77777777" w:rsidTr="000313E5">
        <w:tc>
          <w:tcPr>
            <w:tcW w:w="2972" w:type="dxa"/>
          </w:tcPr>
          <w:p w14:paraId="398C1B09" w14:textId="77777777" w:rsidR="000D36EE" w:rsidRDefault="003D3237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6662" w:type="dxa"/>
          </w:tcPr>
          <w:p w14:paraId="4EF5FF1C" w14:textId="77777777" w:rsidR="000D36EE" w:rsidRDefault="001E3908">
            <w:r>
              <w:t>В</w:t>
            </w:r>
          </w:p>
        </w:tc>
      </w:tr>
      <w:tr w:rsidR="000D36EE" w14:paraId="7A63A4CB" w14:textId="77777777" w:rsidTr="000313E5">
        <w:tc>
          <w:tcPr>
            <w:tcW w:w="2972" w:type="dxa"/>
          </w:tcPr>
          <w:p w14:paraId="586E553B" w14:textId="77777777" w:rsidR="000D36EE" w:rsidRDefault="003D3237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6662" w:type="dxa"/>
          </w:tcPr>
          <w:p w14:paraId="1BC89E0A" w14:textId="77777777" w:rsidR="000D36EE" w:rsidRPr="001E3908" w:rsidRDefault="00900E8A">
            <w:pPr>
              <w:rPr>
                <w:lang w:val="en-US"/>
              </w:rPr>
            </w:pPr>
            <w:r>
              <w:t>5</w:t>
            </w:r>
            <w:r w:rsidR="001E3908">
              <w:t>-</w:t>
            </w:r>
            <w:r w:rsidR="001E3908">
              <w:rPr>
                <w:lang w:val="en-US"/>
              </w:rPr>
              <w:t>VII-2</w:t>
            </w:r>
          </w:p>
        </w:tc>
      </w:tr>
      <w:tr w:rsidR="000D36EE" w14:paraId="51F35698" w14:textId="77777777" w:rsidTr="000313E5">
        <w:tc>
          <w:tcPr>
            <w:tcW w:w="2972" w:type="dxa"/>
          </w:tcPr>
          <w:p w14:paraId="5BB604AB" w14:textId="77777777" w:rsidR="000D36EE" w:rsidRDefault="003D3237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6662" w:type="dxa"/>
          </w:tcPr>
          <w:p w14:paraId="70DDF6F3" w14:textId="77777777" w:rsidR="003D3237" w:rsidRDefault="003D3237" w:rsidP="001E390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громадянство України;</w:t>
            </w:r>
          </w:p>
          <w:p w14:paraId="0E57B886" w14:textId="77777777" w:rsidR="00900E8A" w:rsidRPr="000313E5" w:rsidRDefault="00900E8A" w:rsidP="00900E8A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0313E5">
              <w:rPr>
                <w:sz w:val="28"/>
                <w:szCs w:val="28"/>
              </w:rPr>
              <w:t>- вільне володіння державною мовою;</w:t>
            </w:r>
          </w:p>
          <w:p w14:paraId="564EA40D" w14:textId="77777777" w:rsidR="003D3237" w:rsidRDefault="003D3237" w:rsidP="001E3908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313E5" w:rsidRPr="000313E5">
              <w:rPr>
                <w:color w:val="000000"/>
                <w:sz w:val="28"/>
                <w:szCs w:val="28"/>
              </w:rPr>
              <w:t xml:space="preserve">вища </w:t>
            </w:r>
            <w:r w:rsidR="00900E8A">
              <w:rPr>
                <w:color w:val="000000"/>
                <w:sz w:val="28"/>
                <w:szCs w:val="28"/>
              </w:rPr>
              <w:t xml:space="preserve">економічна або юридична </w:t>
            </w:r>
            <w:r w:rsidR="000313E5" w:rsidRPr="000313E5">
              <w:rPr>
                <w:color w:val="000000"/>
                <w:sz w:val="28"/>
                <w:szCs w:val="28"/>
              </w:rPr>
              <w:t xml:space="preserve">освіта </w:t>
            </w:r>
            <w:r w:rsidR="00900E8A">
              <w:rPr>
                <w:color w:val="000000"/>
                <w:sz w:val="28"/>
                <w:szCs w:val="28"/>
              </w:rPr>
              <w:t>за с</w:t>
            </w:r>
            <w:r w:rsidR="000313E5" w:rsidRPr="000313E5">
              <w:rPr>
                <w:color w:val="000000"/>
                <w:sz w:val="28"/>
                <w:szCs w:val="28"/>
              </w:rPr>
              <w:t>тупен</w:t>
            </w:r>
            <w:r w:rsidR="00900E8A">
              <w:rPr>
                <w:color w:val="000000"/>
                <w:sz w:val="28"/>
                <w:szCs w:val="28"/>
              </w:rPr>
              <w:t>ем</w:t>
            </w:r>
            <w:r w:rsidR="000313E5" w:rsidRPr="000313E5">
              <w:rPr>
                <w:color w:val="000000"/>
                <w:sz w:val="28"/>
                <w:szCs w:val="28"/>
              </w:rPr>
              <w:t xml:space="preserve"> </w:t>
            </w:r>
            <w:r w:rsidR="00900E8A">
              <w:rPr>
                <w:color w:val="000000"/>
                <w:sz w:val="28"/>
                <w:szCs w:val="28"/>
              </w:rPr>
              <w:t>магістра</w:t>
            </w:r>
            <w:r w:rsidR="000313E5" w:rsidRPr="000313E5">
              <w:rPr>
                <w:sz w:val="28"/>
                <w:szCs w:val="28"/>
              </w:rPr>
              <w:t>;</w:t>
            </w:r>
          </w:p>
          <w:p w14:paraId="21F8697B" w14:textId="77777777" w:rsidR="000D36EE" w:rsidRDefault="000313E5" w:rsidP="000313E5">
            <w:pPr>
              <w:pStyle w:val="ae"/>
              <w:spacing w:before="0" w:beforeAutospacing="0" w:after="0" w:afterAutospacing="0"/>
            </w:pPr>
            <w:r w:rsidRPr="000313E5">
              <w:rPr>
                <w:sz w:val="28"/>
                <w:szCs w:val="28"/>
              </w:rPr>
              <w:t xml:space="preserve">- </w:t>
            </w:r>
            <w:r w:rsidR="00900E8A">
              <w:rPr>
                <w:sz w:val="28"/>
                <w:szCs w:val="28"/>
              </w:rPr>
              <w:t xml:space="preserve">стаж роботи понад 3 роки </w:t>
            </w:r>
            <w:r w:rsidR="00900E8A" w:rsidRPr="00900E8A">
              <w:rPr>
                <w:sz w:val="28"/>
                <w:szCs w:val="28"/>
              </w:rPr>
              <w:t>у відповідній галузі</w:t>
            </w:r>
          </w:p>
        </w:tc>
      </w:tr>
      <w:tr w:rsidR="000D36EE" w14:paraId="07B92155" w14:textId="77777777" w:rsidTr="000313E5">
        <w:tc>
          <w:tcPr>
            <w:tcW w:w="2972" w:type="dxa"/>
          </w:tcPr>
          <w:p w14:paraId="7F4DE6EC" w14:textId="77777777" w:rsidR="000D36EE" w:rsidRDefault="003D3237">
            <w:pPr>
              <w:spacing w:line="276" w:lineRule="auto"/>
            </w:pPr>
            <w:bookmarkStart w:id="0" w:name="_Hlk214542451"/>
            <w:r>
              <w:t>Посадові обов`язки</w:t>
            </w:r>
          </w:p>
        </w:tc>
        <w:tc>
          <w:tcPr>
            <w:tcW w:w="6662" w:type="dxa"/>
          </w:tcPr>
          <w:p w14:paraId="6AA0E68A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 w:rsidRPr="00090C25">
              <w:rPr>
                <w:color w:val="000000"/>
                <w:spacing w:val="-9"/>
              </w:rPr>
              <w:t xml:space="preserve">Основним завданням є надання директору Департаменту об'єктивних і незалежних висновків та рекомендацій щодо: </w:t>
            </w:r>
          </w:p>
          <w:p w14:paraId="39B9313F" w14:textId="77777777" w:rsidR="008557C2" w:rsidRDefault="008557C2" w:rsidP="008557C2">
            <w:pPr>
              <w:ind w:firstLine="426"/>
              <w:jc w:val="both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 xml:space="preserve">- </w:t>
            </w:r>
            <w:r w:rsidRPr="00090C25">
              <w:rPr>
                <w:color w:val="000000"/>
                <w:spacing w:val="-9"/>
              </w:rPr>
              <w:t>функціонування системи внутрішнього контролю та її удосконалення у Департаменті;</w:t>
            </w:r>
          </w:p>
          <w:p w14:paraId="10A3140F" w14:textId="77777777" w:rsidR="008557C2" w:rsidRDefault="008557C2" w:rsidP="008557C2">
            <w:pPr>
              <w:ind w:firstLine="426"/>
              <w:jc w:val="both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 xml:space="preserve">- </w:t>
            </w:r>
            <w:r w:rsidRPr="00090C25">
              <w:rPr>
                <w:color w:val="000000"/>
                <w:spacing w:val="-9"/>
              </w:rPr>
              <w:t>удосконалення системи управління;</w:t>
            </w:r>
            <w:r>
              <w:rPr>
                <w:color w:val="000000"/>
                <w:spacing w:val="-9"/>
              </w:rPr>
              <w:t xml:space="preserve"> </w:t>
            </w:r>
          </w:p>
          <w:p w14:paraId="5B453294" w14:textId="77777777" w:rsidR="008557C2" w:rsidRDefault="008557C2" w:rsidP="008557C2">
            <w:pPr>
              <w:ind w:firstLine="426"/>
              <w:jc w:val="both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 xml:space="preserve">- </w:t>
            </w:r>
            <w:r w:rsidRPr="00090C25">
              <w:rPr>
                <w:color w:val="000000"/>
                <w:spacing w:val="-9"/>
              </w:rPr>
              <w:t>запобігання фактам незаконного, неефективного та нерезультативного використання бюджетних коштів та інших активів;</w:t>
            </w:r>
          </w:p>
          <w:p w14:paraId="08B23B46" w14:textId="77777777" w:rsidR="008557C2" w:rsidRPr="00090C25" w:rsidRDefault="008557C2" w:rsidP="008557C2">
            <w:pPr>
              <w:ind w:firstLine="426"/>
              <w:jc w:val="both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 xml:space="preserve">- </w:t>
            </w:r>
            <w:r w:rsidRPr="00090C25">
              <w:rPr>
                <w:color w:val="000000"/>
                <w:spacing w:val="-9"/>
              </w:rPr>
              <w:t>запобігання виникненню помилок чи інших недоліків у діяльності Департаменту.</w:t>
            </w:r>
          </w:p>
          <w:p w14:paraId="3898A84C" w14:textId="77777777" w:rsidR="008557C2" w:rsidRPr="00090C25" w:rsidRDefault="008557C2" w:rsidP="008557C2">
            <w:pPr>
              <w:jc w:val="both"/>
              <w:rPr>
                <w:color w:val="000000"/>
                <w:spacing w:val="-9"/>
              </w:rPr>
            </w:pPr>
          </w:p>
          <w:p w14:paraId="537D4A78" w14:textId="77777777" w:rsidR="008557C2" w:rsidRPr="008557C2" w:rsidRDefault="008557C2" w:rsidP="008557C2">
            <w:pPr>
              <w:pStyle w:val="a9"/>
              <w:numPr>
                <w:ilvl w:val="0"/>
                <w:numId w:val="9"/>
              </w:numPr>
              <w:jc w:val="both"/>
              <w:rPr>
                <w:color w:val="000000"/>
                <w:spacing w:val="-9"/>
              </w:rPr>
            </w:pPr>
            <w:r w:rsidRPr="008557C2">
              <w:rPr>
                <w:color w:val="000000"/>
                <w:spacing w:val="-9"/>
              </w:rPr>
              <w:t>Проводить оцінку :</w:t>
            </w:r>
          </w:p>
          <w:p w14:paraId="089EB5CA" w14:textId="77777777" w:rsidR="008557C2" w:rsidRPr="00090C25" w:rsidRDefault="008557C2" w:rsidP="008557C2">
            <w:pPr>
              <w:pStyle w:val="a9"/>
              <w:numPr>
                <w:ilvl w:val="0"/>
                <w:numId w:val="7"/>
              </w:numPr>
              <w:ind w:left="0" w:firstLine="567"/>
              <w:jc w:val="both"/>
              <w:rPr>
                <w:color w:val="000000"/>
                <w:spacing w:val="-9"/>
              </w:rPr>
            </w:pPr>
            <w:r w:rsidRPr="00090C25">
              <w:rPr>
                <w:color w:val="000000"/>
                <w:spacing w:val="-9"/>
              </w:rPr>
              <w:t>ефективності функціонування системи внутрішнього контролю;</w:t>
            </w:r>
          </w:p>
          <w:p w14:paraId="4BB0B1D7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 w:rsidRPr="00090C25"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  <w:spacing w:val="-9"/>
              </w:rPr>
              <w:tab/>
              <w:t xml:space="preserve">- </w:t>
            </w:r>
            <w:r w:rsidRPr="00090C25">
              <w:rPr>
                <w:color w:val="000000"/>
                <w:spacing w:val="-9"/>
              </w:rPr>
              <w:t>ступеня виконання і досягнення цілей, визначених у стратегічних та річних планах;</w:t>
            </w:r>
          </w:p>
          <w:p w14:paraId="54A36C6E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 xml:space="preserve">- </w:t>
            </w:r>
            <w:r w:rsidRPr="00090C25">
              <w:rPr>
                <w:color w:val="000000"/>
                <w:spacing w:val="-9"/>
              </w:rPr>
              <w:t>ефективності планування і виконання бюджетних програм та результатів їх виконання, управління бюджетними коштами;</w:t>
            </w:r>
          </w:p>
          <w:p w14:paraId="1C83A44F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 xml:space="preserve">- </w:t>
            </w:r>
            <w:r w:rsidRPr="00090C25">
              <w:rPr>
                <w:color w:val="000000"/>
                <w:spacing w:val="-9"/>
              </w:rPr>
              <w:t>якості надання адміністративних послуг та виконання контрольно-наглядових функцій, завдань, визначених актами законодавства;</w:t>
            </w:r>
          </w:p>
          <w:p w14:paraId="01433735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 xml:space="preserve">- </w:t>
            </w:r>
            <w:r w:rsidRPr="00090C25">
              <w:rPr>
                <w:color w:val="000000"/>
                <w:spacing w:val="-9"/>
              </w:rPr>
              <w:t>використання і збереження активів;</w:t>
            </w:r>
          </w:p>
          <w:p w14:paraId="0AA98AD4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lastRenderedPageBreak/>
              <w:t xml:space="preserve">- </w:t>
            </w:r>
            <w:r w:rsidRPr="00090C25">
              <w:rPr>
                <w:color w:val="000000"/>
                <w:spacing w:val="-9"/>
              </w:rPr>
              <w:t>надійності, ефективності та результативності інформаційних систем і технологій;</w:t>
            </w:r>
          </w:p>
          <w:p w14:paraId="253F9EB1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 xml:space="preserve">- </w:t>
            </w:r>
            <w:r w:rsidRPr="00090C25">
              <w:rPr>
                <w:color w:val="000000"/>
                <w:spacing w:val="-9"/>
              </w:rPr>
              <w:t>управління комунальним майном;</w:t>
            </w:r>
          </w:p>
          <w:p w14:paraId="14B7A9B5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 w:rsidRPr="00090C25">
              <w:rPr>
                <w:color w:val="000000"/>
                <w:spacing w:val="-9"/>
              </w:rPr>
              <w:t>правильності ведення бухгалтерського обліку та достовірності фінансової і бюджетної звітності;</w:t>
            </w:r>
          </w:p>
          <w:p w14:paraId="64F645D4" w14:textId="77777777" w:rsidR="008557C2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>
              <w:rPr>
                <w:color w:val="000000"/>
                <w:spacing w:val="-9"/>
              </w:rPr>
              <w:t xml:space="preserve">- </w:t>
            </w:r>
            <w:r w:rsidRPr="00090C25">
              <w:rPr>
                <w:color w:val="000000"/>
                <w:spacing w:val="-9"/>
              </w:rPr>
              <w:t>ризиків, які негативно впливають на функцій і завдань Департаменту.</w:t>
            </w:r>
          </w:p>
          <w:p w14:paraId="56E1B9A2" w14:textId="77777777" w:rsidR="008557C2" w:rsidRPr="00090C25" w:rsidRDefault="008557C2" w:rsidP="008557C2">
            <w:pPr>
              <w:ind w:firstLine="567"/>
              <w:rPr>
                <w:color w:val="000000"/>
                <w:spacing w:val="-9"/>
              </w:rPr>
            </w:pPr>
          </w:p>
          <w:p w14:paraId="2C9B5551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 w:rsidRPr="00090C25">
              <w:rPr>
                <w:color w:val="000000"/>
                <w:spacing w:val="-9"/>
              </w:rPr>
              <w:t>2. Планує діяльність з внутрішнього аудиту, організовує та проводить внутрішні аудити, документує їх результати, готує аудиторські звіти, висновки та рекомендації, а також проводить моніторинг врахування рекомендацій.</w:t>
            </w:r>
          </w:p>
          <w:p w14:paraId="5E24D99E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 w:rsidRPr="00090C25">
              <w:rPr>
                <w:color w:val="000000"/>
                <w:spacing w:val="-9"/>
              </w:rPr>
              <w:t>3. Взаємодіє з управліннями та відділами Департаменту з питань внутрішнього аудиту.</w:t>
            </w:r>
          </w:p>
          <w:p w14:paraId="46BD7065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 w:rsidRPr="00090C25">
              <w:rPr>
                <w:color w:val="000000"/>
                <w:spacing w:val="-9"/>
              </w:rPr>
              <w:t>4. Подає директору Департаменту аудиторські звіти і рекомендації для прийняття ним відповідних управлінських рішень.</w:t>
            </w:r>
          </w:p>
          <w:p w14:paraId="6C8D9F0A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 w:rsidRPr="00090C25">
              <w:rPr>
                <w:color w:val="000000"/>
                <w:spacing w:val="-9"/>
              </w:rPr>
              <w:t>5. Аналізує та узагальнює досвід у підвідомчих підприємствах та їх підрозділів з метою використання при вирішенні питань підвищення ефективності роботи.</w:t>
            </w:r>
          </w:p>
          <w:p w14:paraId="101B465C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 w:rsidRPr="00090C25">
              <w:rPr>
                <w:color w:val="000000"/>
                <w:spacing w:val="-9"/>
              </w:rPr>
              <w:t>6.</w:t>
            </w:r>
            <w:r>
              <w:rPr>
                <w:color w:val="000000"/>
                <w:spacing w:val="-9"/>
              </w:rPr>
              <w:t xml:space="preserve"> </w:t>
            </w:r>
            <w:r w:rsidRPr="00090C25">
              <w:rPr>
                <w:color w:val="000000"/>
                <w:spacing w:val="-9"/>
              </w:rPr>
              <w:t>Здійснює аналіз фінансово-господарської діяльності підпорядкованих Департаменту підприємств, та внесення пропозицій, які впливатимуть на покращення та удосконалення їх діяльності.</w:t>
            </w:r>
          </w:p>
          <w:p w14:paraId="0166F77D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 w:rsidRPr="00090C25">
              <w:rPr>
                <w:color w:val="000000"/>
                <w:spacing w:val="-9"/>
              </w:rPr>
              <w:t>7. Аналізує звіти комунальних підприємств підпорядкованих Департаменту.</w:t>
            </w:r>
          </w:p>
          <w:p w14:paraId="6631357F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 w:rsidRPr="00090C25">
              <w:rPr>
                <w:color w:val="000000"/>
                <w:spacing w:val="-9"/>
              </w:rPr>
              <w:t>5. Звітує про результати діяльності внутрішнього аудиту.</w:t>
            </w:r>
          </w:p>
          <w:p w14:paraId="08DE4719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 w:rsidRPr="00090C25">
              <w:rPr>
                <w:color w:val="000000"/>
                <w:spacing w:val="-9"/>
              </w:rPr>
              <w:t>6. Виконує інші функції відповідно до його компетенції.</w:t>
            </w:r>
          </w:p>
          <w:p w14:paraId="525A2F9F" w14:textId="77777777" w:rsidR="008557C2" w:rsidRPr="00090C25" w:rsidRDefault="008557C2" w:rsidP="008557C2">
            <w:pPr>
              <w:rPr>
                <w:color w:val="000000"/>
                <w:spacing w:val="-9"/>
              </w:rPr>
            </w:pPr>
          </w:p>
          <w:p w14:paraId="68E1C0AC" w14:textId="77777777" w:rsidR="008557C2" w:rsidRPr="00090C25" w:rsidRDefault="008557C2" w:rsidP="008557C2">
            <w:pPr>
              <w:ind w:firstLine="567"/>
              <w:jc w:val="both"/>
              <w:rPr>
                <w:color w:val="000000"/>
                <w:spacing w:val="-9"/>
              </w:rPr>
            </w:pPr>
            <w:r w:rsidRPr="00090C25">
              <w:rPr>
                <w:color w:val="000000"/>
                <w:spacing w:val="-9"/>
              </w:rPr>
              <w:t>Розглядає у межах компетенції  запити та звернення депутатів всіх рівнів, доручення та листи центральних та місцевих органів виконавчої влади, органів місцевого самоврядування, підприємств, установ, організацій, громадян, запити на інформацію, вивчає порушені в них питання та готує проєкти відповідей.</w:t>
            </w:r>
          </w:p>
          <w:p w14:paraId="37A9857D" w14:textId="77777777" w:rsidR="008557C2" w:rsidRPr="00090C25" w:rsidRDefault="008557C2" w:rsidP="008557C2">
            <w:pPr>
              <w:rPr>
                <w:color w:val="000000"/>
                <w:spacing w:val="-9"/>
              </w:rPr>
            </w:pPr>
          </w:p>
          <w:p w14:paraId="7D72E1AD" w14:textId="77777777" w:rsidR="00900E8A" w:rsidRPr="001E44E1" w:rsidRDefault="00900E8A" w:rsidP="00900E8A">
            <w:pPr>
              <w:pStyle w:val="af3"/>
              <w:spacing w:line="240" w:lineRule="auto"/>
              <w:ind w:right="275" w:firstLine="172"/>
              <w:jc w:val="both"/>
              <w:textAlignment w:val="auto"/>
              <w:rPr>
                <w:lang w:val="uk-UA"/>
              </w:rPr>
            </w:pPr>
          </w:p>
          <w:p w14:paraId="3B489ED0" w14:textId="77777777" w:rsidR="00900E8A" w:rsidRPr="001E44E1" w:rsidRDefault="00900E8A" w:rsidP="00900E8A">
            <w:pPr>
              <w:pStyle w:val="af3"/>
              <w:spacing w:line="240" w:lineRule="auto"/>
              <w:ind w:right="275" w:firstLine="172"/>
              <w:jc w:val="both"/>
              <w:textAlignment w:val="auto"/>
              <w:rPr>
                <w:lang w:val="uk-UA"/>
              </w:rPr>
            </w:pPr>
          </w:p>
          <w:p w14:paraId="6C0159DE" w14:textId="77777777" w:rsidR="00900E8A" w:rsidRPr="001E44E1" w:rsidRDefault="00900E8A" w:rsidP="00900E8A">
            <w:pPr>
              <w:pStyle w:val="af3"/>
              <w:spacing w:line="240" w:lineRule="auto"/>
              <w:ind w:right="275" w:firstLine="172"/>
              <w:jc w:val="both"/>
              <w:textAlignment w:val="auto"/>
              <w:rPr>
                <w:lang w:val="uk-UA"/>
              </w:rPr>
            </w:pPr>
          </w:p>
          <w:p w14:paraId="0AE17E5B" w14:textId="77777777" w:rsidR="00900E8A" w:rsidRPr="000313E5" w:rsidRDefault="00900E8A" w:rsidP="00900E8A">
            <w:pPr>
              <w:pStyle w:val="af3"/>
              <w:spacing w:line="240" w:lineRule="auto"/>
              <w:ind w:right="275" w:firstLine="172"/>
              <w:jc w:val="both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bookmarkEnd w:id="0"/>
      <w:tr w:rsidR="000D36EE" w14:paraId="5F14DF40" w14:textId="77777777" w:rsidTr="000313E5">
        <w:tc>
          <w:tcPr>
            <w:tcW w:w="2972" w:type="dxa"/>
          </w:tcPr>
          <w:p w14:paraId="64407D2A" w14:textId="77777777" w:rsidR="000D36EE" w:rsidRDefault="003D3237">
            <w:pPr>
              <w:spacing w:line="276" w:lineRule="auto"/>
            </w:pPr>
            <w:r>
              <w:lastRenderedPageBreak/>
              <w:t>Що буде перевагою кандидата/кандидатки</w:t>
            </w:r>
          </w:p>
        </w:tc>
        <w:tc>
          <w:tcPr>
            <w:tcW w:w="6662" w:type="dxa"/>
          </w:tcPr>
          <w:p w14:paraId="190E9272" w14:textId="77777777" w:rsidR="000D36EE" w:rsidRPr="008557C2" w:rsidRDefault="008557C2" w:rsidP="003D3237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8557C2">
              <w:rPr>
                <w:color w:val="000000"/>
                <w:sz w:val="28"/>
                <w:szCs w:val="28"/>
                <w:shd w:val="clear" w:color="auto" w:fill="FFFFFF"/>
              </w:rPr>
              <w:t>Досвід роботи у сфері внутрішнього аудиту.</w:t>
            </w:r>
          </w:p>
        </w:tc>
      </w:tr>
      <w:tr w:rsidR="000D36EE" w14:paraId="6D37E287" w14:textId="77777777" w:rsidTr="000313E5">
        <w:tc>
          <w:tcPr>
            <w:tcW w:w="2972" w:type="dxa"/>
          </w:tcPr>
          <w:p w14:paraId="3EC59129" w14:textId="77777777" w:rsidR="000D36EE" w:rsidRDefault="003D3237">
            <w:pPr>
              <w:spacing w:line="276" w:lineRule="auto"/>
            </w:pPr>
            <w:r>
              <w:lastRenderedPageBreak/>
              <w:t>Очікування щодо особистих якостей кандидата/кандидатки</w:t>
            </w:r>
          </w:p>
        </w:tc>
        <w:tc>
          <w:tcPr>
            <w:tcW w:w="6662" w:type="dxa"/>
          </w:tcPr>
          <w:p w14:paraId="3C5EB5D9" w14:textId="77777777" w:rsidR="008557C2" w:rsidRPr="008557C2" w:rsidRDefault="008557C2" w:rsidP="008557C2">
            <w:pPr>
              <w:numPr>
                <w:ilvl w:val="0"/>
                <w:numId w:val="8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557C2">
              <w:rPr>
                <w:color w:val="000000"/>
              </w:rPr>
              <w:t>вміння бути самостійною одиницею, котра може приймати рішення з усвідомленням власної відповідальності;</w:t>
            </w:r>
          </w:p>
          <w:p w14:paraId="18732B83" w14:textId="77777777" w:rsidR="008557C2" w:rsidRPr="008557C2" w:rsidRDefault="008557C2" w:rsidP="008557C2">
            <w:pPr>
              <w:numPr>
                <w:ilvl w:val="0"/>
                <w:numId w:val="8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557C2">
              <w:rPr>
                <w:color w:val="000000"/>
              </w:rPr>
              <w:t>уважність до деталей, старанність у виконанні поставлених задач;</w:t>
            </w:r>
          </w:p>
          <w:p w14:paraId="155906BA" w14:textId="77777777" w:rsidR="008557C2" w:rsidRPr="008557C2" w:rsidRDefault="008557C2" w:rsidP="008557C2">
            <w:pPr>
              <w:numPr>
                <w:ilvl w:val="0"/>
                <w:numId w:val="8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557C2">
              <w:rPr>
                <w:color w:val="000000"/>
              </w:rPr>
              <w:t>аналітичний склад розуму;</w:t>
            </w:r>
          </w:p>
          <w:p w14:paraId="1363C1A6" w14:textId="77777777" w:rsidR="008557C2" w:rsidRPr="008557C2" w:rsidRDefault="008557C2" w:rsidP="008557C2">
            <w:pPr>
              <w:numPr>
                <w:ilvl w:val="0"/>
                <w:numId w:val="8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557C2">
              <w:rPr>
                <w:color w:val="000000"/>
              </w:rPr>
              <w:t>високий рівень комунікаційних здібностей;</w:t>
            </w:r>
          </w:p>
          <w:p w14:paraId="7508B9FE" w14:textId="77777777" w:rsidR="008557C2" w:rsidRPr="008557C2" w:rsidRDefault="008557C2" w:rsidP="008557C2">
            <w:pPr>
              <w:numPr>
                <w:ilvl w:val="0"/>
                <w:numId w:val="8"/>
              </w:numPr>
              <w:shd w:val="clear" w:color="auto" w:fill="FFFFFF"/>
              <w:spacing w:line="300" w:lineRule="atLeast"/>
              <w:ind w:left="0"/>
              <w:jc w:val="both"/>
              <w:textAlignment w:val="baseline"/>
              <w:rPr>
                <w:color w:val="000000"/>
              </w:rPr>
            </w:pPr>
            <w:r w:rsidRPr="008557C2">
              <w:rPr>
                <w:color w:val="000000"/>
              </w:rPr>
              <w:t>здатність ефективно працювати в режимі багатозадачності, адаптуватися до змін.</w:t>
            </w:r>
          </w:p>
          <w:p w14:paraId="6AD44A6B" w14:textId="77777777" w:rsidR="000D36EE" w:rsidRDefault="000D36EE"/>
        </w:tc>
      </w:tr>
      <w:tr w:rsidR="000D36EE" w14:paraId="42E23D9E" w14:textId="77777777" w:rsidTr="000313E5">
        <w:tc>
          <w:tcPr>
            <w:tcW w:w="2972" w:type="dxa"/>
          </w:tcPr>
          <w:p w14:paraId="13FA5865" w14:textId="77777777" w:rsidR="000D36EE" w:rsidRDefault="003D3237">
            <w:pPr>
              <w:spacing w:line="276" w:lineRule="auto"/>
            </w:pPr>
            <w:r>
              <w:t>Умови праці, що пропонуються</w:t>
            </w:r>
          </w:p>
        </w:tc>
        <w:tc>
          <w:tcPr>
            <w:tcW w:w="6662" w:type="dxa"/>
          </w:tcPr>
          <w:p w14:paraId="061DDE35" w14:textId="77777777" w:rsidR="000D36EE" w:rsidRPr="00CE75E6" w:rsidRDefault="00CE75E6">
            <w:r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t>1. Повна зайнятість.</w:t>
            </w:r>
            <w:r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br/>
              <w:t>2.</w:t>
            </w:r>
            <w:r w:rsidRPr="00CE75E6">
              <w:rPr>
                <w:color w:val="000000"/>
                <w:shd w:val="clear" w:color="auto" w:fill="FFFFFF"/>
              </w:rPr>
              <w:t> </w:t>
            </w:r>
            <w:r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t>Робота в офісі.</w:t>
            </w:r>
            <w:r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br/>
              <w:t>3.</w:t>
            </w:r>
            <w:r w:rsidRPr="00CE75E6">
              <w:rPr>
                <w:color w:val="000000"/>
                <w:shd w:val="clear" w:color="auto" w:fill="FFFFFF"/>
              </w:rPr>
              <w:t> </w:t>
            </w:r>
            <w:r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t>Відпустка від 30 календарних днів на рік.</w:t>
            </w:r>
            <w:r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br/>
              <w:t>4.</w:t>
            </w:r>
            <w:r w:rsidRPr="00CE75E6">
              <w:rPr>
                <w:color w:val="000000"/>
                <w:shd w:val="clear" w:color="auto" w:fill="FFFFFF"/>
              </w:rPr>
              <w:t> </w:t>
            </w:r>
            <w:r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t>Оплачувані лікарняні.</w:t>
            </w:r>
            <w:r w:rsidRPr="00CE75E6">
              <w:rPr>
                <w:color w:val="000000"/>
                <w:bdr w:val="none" w:sz="0" w:space="0" w:color="auto" w:frame="1"/>
                <w:shd w:val="clear" w:color="auto" w:fill="FFFFFF"/>
              </w:rPr>
              <w:br/>
              <w:t>5. Постійне навчання та підвищення рівня кваліфікації.</w:t>
            </w:r>
          </w:p>
        </w:tc>
      </w:tr>
      <w:tr w:rsidR="000D36EE" w14:paraId="09F0F5EC" w14:textId="77777777" w:rsidTr="000313E5">
        <w:tc>
          <w:tcPr>
            <w:tcW w:w="2972" w:type="dxa"/>
          </w:tcPr>
          <w:p w14:paraId="7C62B03C" w14:textId="77777777" w:rsidR="000D36EE" w:rsidRDefault="003D3237">
            <w:pPr>
              <w:spacing w:line="276" w:lineRule="auto"/>
            </w:pPr>
            <w: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6662" w:type="dxa"/>
          </w:tcPr>
          <w:p w14:paraId="710FE5D4" w14:textId="77777777" w:rsidR="000D36EE" w:rsidRDefault="000313E5">
            <w:r>
              <w:t>2026110</w:t>
            </w:r>
            <w:r w:rsidR="003D3237">
              <w:t xml:space="preserve">, </w:t>
            </w:r>
            <w:proofErr w:type="spellStart"/>
            <w:r w:rsidR="003D3237">
              <w:t>Гаращук</w:t>
            </w:r>
            <w:proofErr w:type="spellEnd"/>
            <w:r w:rsidR="003D3237">
              <w:t xml:space="preserve"> Ольга Петрівна</w:t>
            </w:r>
          </w:p>
        </w:tc>
      </w:tr>
      <w:tr w:rsidR="000D36EE" w14:paraId="3CEC8CE3" w14:textId="77777777" w:rsidTr="000313E5">
        <w:tc>
          <w:tcPr>
            <w:tcW w:w="2972" w:type="dxa"/>
          </w:tcPr>
          <w:p w14:paraId="7C17149B" w14:textId="77777777" w:rsidR="000D36EE" w:rsidRDefault="003D3237">
            <w:pPr>
              <w:spacing w:line="276" w:lineRule="auto"/>
            </w:pPr>
            <w:r>
              <w:t>Е-пошта, на яку необхідно відправляти резюме</w:t>
            </w:r>
          </w:p>
        </w:tc>
        <w:tc>
          <w:tcPr>
            <w:tcW w:w="6662" w:type="dxa"/>
          </w:tcPr>
          <w:p w14:paraId="1C7E6F27" w14:textId="77777777" w:rsidR="000313E5" w:rsidRPr="000313E5" w:rsidRDefault="000313E5" w:rsidP="000313E5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397AF3ED" w14:textId="77777777" w:rsidR="000D36EE" w:rsidRDefault="000313E5" w:rsidP="000313E5">
            <w:r w:rsidRPr="000313E5">
              <w:t xml:space="preserve"> property@kyivcity.gov.ua</w:t>
            </w:r>
          </w:p>
        </w:tc>
      </w:tr>
      <w:tr w:rsidR="000D36EE" w14:paraId="76C76332" w14:textId="77777777" w:rsidTr="000313E5">
        <w:tc>
          <w:tcPr>
            <w:tcW w:w="2972" w:type="dxa"/>
          </w:tcPr>
          <w:p w14:paraId="59E5A65F" w14:textId="77777777" w:rsidR="000D36EE" w:rsidRDefault="003D3237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6662" w:type="dxa"/>
          </w:tcPr>
          <w:p w14:paraId="5A2C7668" w14:textId="77777777" w:rsidR="000D36EE" w:rsidRDefault="000313E5">
            <w:r>
              <w:t xml:space="preserve">2026110 - </w:t>
            </w:r>
            <w:proofErr w:type="spellStart"/>
            <w:r>
              <w:t>Гаращук</w:t>
            </w:r>
            <w:proofErr w:type="spellEnd"/>
            <w:r>
              <w:t xml:space="preserve"> Ольга Петрівна</w:t>
            </w:r>
          </w:p>
        </w:tc>
      </w:tr>
    </w:tbl>
    <w:p w14:paraId="5A357930" w14:textId="77777777" w:rsidR="000D36EE" w:rsidRDefault="000D36EE"/>
    <w:p w14:paraId="50770260" w14:textId="77777777" w:rsidR="000D36EE" w:rsidRDefault="000D36EE"/>
    <w:sectPr w:rsidR="000D36E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6F0B"/>
    <w:multiLevelType w:val="hybridMultilevel"/>
    <w:tmpl w:val="B82ADD40"/>
    <w:lvl w:ilvl="0" w:tplc="58566D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4AEF"/>
    <w:multiLevelType w:val="hybridMultilevel"/>
    <w:tmpl w:val="3EF6B750"/>
    <w:lvl w:ilvl="0" w:tplc="830864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247AB"/>
    <w:multiLevelType w:val="multilevel"/>
    <w:tmpl w:val="3D9A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33590"/>
    <w:multiLevelType w:val="hybridMultilevel"/>
    <w:tmpl w:val="C74A1926"/>
    <w:lvl w:ilvl="0" w:tplc="DD547A92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" w15:restartNumberingAfterBreak="0">
    <w:nsid w:val="55A146CF"/>
    <w:multiLevelType w:val="hybridMultilevel"/>
    <w:tmpl w:val="EEFA9C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E1464"/>
    <w:multiLevelType w:val="hybridMultilevel"/>
    <w:tmpl w:val="9C0AB0A0"/>
    <w:lvl w:ilvl="0" w:tplc="E0C2FAEA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912272"/>
    <w:multiLevelType w:val="hybridMultilevel"/>
    <w:tmpl w:val="7F4867B0"/>
    <w:lvl w:ilvl="0" w:tplc="C7D60C7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794480">
    <w:abstractNumId w:val="0"/>
  </w:num>
  <w:num w:numId="2" w16cid:durableId="605357128">
    <w:abstractNumId w:val="6"/>
  </w:num>
  <w:num w:numId="3" w16cid:durableId="582111103">
    <w:abstractNumId w:val="1"/>
  </w:num>
  <w:num w:numId="4" w16cid:durableId="330564305">
    <w:abstractNumId w:val="3"/>
  </w:num>
  <w:num w:numId="5" w16cid:durableId="314843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2542095">
    <w:abstractNumId w:val="1"/>
  </w:num>
  <w:num w:numId="7" w16cid:durableId="1775588329">
    <w:abstractNumId w:val="5"/>
  </w:num>
  <w:num w:numId="8" w16cid:durableId="1868179452">
    <w:abstractNumId w:val="2"/>
  </w:num>
  <w:num w:numId="9" w16cid:durableId="1572886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EE"/>
    <w:rsid w:val="000313E5"/>
    <w:rsid w:val="000D36EE"/>
    <w:rsid w:val="0010598F"/>
    <w:rsid w:val="001E3908"/>
    <w:rsid w:val="001E44E1"/>
    <w:rsid w:val="00326EB8"/>
    <w:rsid w:val="003D3237"/>
    <w:rsid w:val="0048309B"/>
    <w:rsid w:val="008557C2"/>
    <w:rsid w:val="00900E8A"/>
    <w:rsid w:val="009512C7"/>
    <w:rsid w:val="00CE75E6"/>
    <w:rsid w:val="00DA22E5"/>
    <w:rsid w:val="00F74BEC"/>
    <w:rsid w:val="00F9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B37E"/>
  <w15:docId w15:val="{7FE7F2B8-5256-4321-87EF-2B242C6E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iPriority w:val="99"/>
    <w:semiHidden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3">
    <w:name w:val="[Немає стилю абзацу]"/>
    <w:uiPriority w:val="99"/>
    <w:rsid w:val="000313E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Default">
    <w:name w:val="Default"/>
    <w:rsid w:val="000313E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2675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Щербина Олександра Сергіївна</dc:creator>
  <cp:lastModifiedBy>Елена О. Гринченко</cp:lastModifiedBy>
  <cp:revision>2</cp:revision>
  <dcterms:created xsi:type="dcterms:W3CDTF">2026-03-04T12:34:00Z</dcterms:created>
  <dcterms:modified xsi:type="dcterms:W3CDTF">2026-03-04T12:34:00Z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