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8B730" w14:textId="77777777" w:rsidR="00171A09" w:rsidRDefault="00171A09" w:rsidP="00171A0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uk-UA"/>
        </w:rPr>
      </w:pPr>
    </w:p>
    <w:p w14:paraId="2778805C" w14:textId="65BF8E3B" w:rsidR="00171A09" w:rsidRPr="00C92CDC" w:rsidRDefault="00DA5DB5" w:rsidP="00171A0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uk-UA"/>
        </w:rPr>
      </w:pPr>
      <w:r w:rsidRPr="00C92CDC">
        <w:rPr>
          <w:rFonts w:ascii="Times New Roman" w:eastAsia="Times New Roman" w:hAnsi="Times New Roman"/>
          <w:bCs/>
          <w:i/>
          <w:sz w:val="20"/>
          <w:szCs w:val="20"/>
          <w:lang w:eastAsia="uk-UA"/>
        </w:rPr>
        <w:t>Київський міський територіальний центр соціального обслуговування</w:t>
      </w:r>
    </w:p>
    <w:p w14:paraId="54E10DAE" w14:textId="77777777" w:rsidR="00171A09" w:rsidRPr="00C92CDC" w:rsidRDefault="00171A09" w:rsidP="00171A09">
      <w:pPr>
        <w:spacing w:after="0" w:line="240" w:lineRule="auto"/>
        <w:jc w:val="center"/>
        <w:rPr>
          <w:rStyle w:val="rvts0"/>
          <w:rFonts w:ascii="Times New Roman" w:hAnsi="Times New Roman"/>
          <w:b/>
          <w:i/>
          <w:sz w:val="20"/>
          <w:szCs w:val="20"/>
        </w:rPr>
      </w:pPr>
    </w:p>
    <w:p w14:paraId="58D6B842" w14:textId="77777777" w:rsidR="00171A09" w:rsidRPr="00C92CDC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92CDC">
        <w:rPr>
          <w:rFonts w:ascii="Times New Roman" w:hAnsi="Times New Roman"/>
          <w:b/>
          <w:bCs/>
          <w:sz w:val="20"/>
          <w:szCs w:val="20"/>
        </w:rPr>
        <w:t xml:space="preserve">ОБҐРУНТУВАННЯ </w:t>
      </w:r>
    </w:p>
    <w:p w14:paraId="406792F8" w14:textId="4E106291" w:rsidR="00171A09" w:rsidRPr="00C92CDC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C92CDC">
        <w:rPr>
          <w:rFonts w:ascii="Times New Roman" w:hAnsi="Times New Roman"/>
          <w:bCs/>
          <w:sz w:val="20"/>
          <w:szCs w:val="20"/>
        </w:rPr>
        <w:t>технічних та якісних характеристик закупівлі</w:t>
      </w:r>
      <w:r w:rsidRPr="00C92CDC">
        <w:rPr>
          <w:rFonts w:ascii="Times New Roman" w:hAnsi="Times New Roman"/>
          <w:b/>
          <w:sz w:val="20"/>
          <w:szCs w:val="20"/>
        </w:rPr>
        <w:t xml:space="preserve">, </w:t>
      </w:r>
      <w:r w:rsidRPr="00C92CDC">
        <w:rPr>
          <w:rFonts w:ascii="Times New Roman" w:hAnsi="Times New Roman"/>
          <w:bCs/>
          <w:sz w:val="20"/>
          <w:szCs w:val="20"/>
        </w:rPr>
        <w:t>розміру бюджетного призначення, очікуваної вартості предмета закупівлі</w:t>
      </w:r>
    </w:p>
    <w:p w14:paraId="607E0983" w14:textId="681FF0C7" w:rsidR="00171A09" w:rsidRPr="00C92CDC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0"/>
          <w:szCs w:val="20"/>
        </w:rPr>
      </w:pPr>
      <w:r w:rsidRPr="00C92CDC">
        <w:rPr>
          <w:rStyle w:val="a4"/>
          <w:rFonts w:ascii="Times New Roman" w:hAnsi="Times New Roman"/>
          <w:bCs/>
          <w:sz w:val="20"/>
          <w:szCs w:val="20"/>
        </w:rPr>
        <w:t>(оприлюднюється на виконання</w:t>
      </w:r>
      <w:r w:rsidR="00E1288A" w:rsidRPr="00C92CDC">
        <w:rPr>
          <w:rStyle w:val="a4"/>
          <w:rFonts w:ascii="Times New Roman" w:hAnsi="Times New Roman"/>
          <w:bCs/>
          <w:sz w:val="20"/>
          <w:szCs w:val="20"/>
        </w:rPr>
        <w:t xml:space="preserve"> п.</w:t>
      </w:r>
      <w:r w:rsidR="00E1288A" w:rsidRPr="00C92CD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E1288A" w:rsidRPr="00C92CDC">
        <w:rPr>
          <w:rStyle w:val="a4"/>
          <w:bCs/>
          <w:sz w:val="20"/>
          <w:szCs w:val="20"/>
        </w:rPr>
        <w:t>4</w:t>
      </w:r>
      <w:r w:rsidR="00E1288A" w:rsidRPr="00C92CDC">
        <w:rPr>
          <w:rStyle w:val="a4"/>
          <w:sz w:val="20"/>
          <w:szCs w:val="20"/>
          <w:vertAlign w:val="superscript"/>
        </w:rPr>
        <w:t>1</w:t>
      </w:r>
      <w:r w:rsidR="00E1288A" w:rsidRPr="00C92CDC">
        <w:rPr>
          <w:rFonts w:ascii="Times New Roman" w:eastAsia="Times New Roman" w:hAnsi="Times New Roman"/>
          <w:b/>
          <w:bCs/>
          <w:color w:val="333333"/>
          <w:sz w:val="16"/>
          <w:szCs w:val="16"/>
          <w:vertAlign w:val="superscript"/>
          <w:lang w:eastAsia="ru-RU"/>
        </w:rPr>
        <w:t xml:space="preserve"> </w:t>
      </w:r>
      <w:r w:rsidRPr="00C92CDC">
        <w:rPr>
          <w:rStyle w:val="a4"/>
          <w:rFonts w:ascii="Times New Roman" w:hAnsi="Times New Roman"/>
          <w:bCs/>
          <w:sz w:val="20"/>
          <w:szCs w:val="20"/>
        </w:rPr>
        <w:t>постанови КМУ № 710 від 11.10.2016 «Про ефективне використання державних коштів» (зі змінами))</w:t>
      </w:r>
    </w:p>
    <w:p w14:paraId="0C2D415F" w14:textId="77777777" w:rsidR="00DA5DB5" w:rsidRPr="00C92CDC" w:rsidRDefault="00171A09" w:rsidP="00DA5DB5">
      <w:pPr>
        <w:spacing w:after="0" w:line="240" w:lineRule="auto"/>
        <w:jc w:val="both"/>
        <w:rPr>
          <w:rStyle w:val="a4"/>
          <w:rFonts w:ascii="Times New Roman" w:hAnsi="Times New Roman"/>
          <w:b/>
          <w:bCs/>
          <w:i w:val="0"/>
          <w:sz w:val="20"/>
          <w:szCs w:val="20"/>
        </w:rPr>
      </w:pPr>
      <w:r w:rsidRPr="00C92CDC">
        <w:rPr>
          <w:rStyle w:val="a4"/>
          <w:rFonts w:ascii="Times New Roman" w:hAnsi="Times New Roman"/>
          <w:b/>
          <w:bCs/>
          <w:i w:val="0"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5E3FC320" w14:textId="689420D3" w:rsidR="00171A09" w:rsidRPr="00C92CDC" w:rsidRDefault="00DA5DB5" w:rsidP="00DA5DB5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sz w:val="20"/>
          <w:szCs w:val="20"/>
        </w:rPr>
      </w:pPr>
      <w:r w:rsidRPr="00C92CDC">
        <w:rPr>
          <w:rStyle w:val="a4"/>
          <w:rFonts w:ascii="Times New Roman" w:hAnsi="Times New Roman"/>
          <w:bCs/>
          <w:i w:val="0"/>
          <w:sz w:val="20"/>
          <w:szCs w:val="20"/>
        </w:rPr>
        <w:t>Київський міський територіальний центр соціального обслуговування;</w:t>
      </w:r>
    </w:p>
    <w:p w14:paraId="15BC30C5" w14:textId="4E7D60E3" w:rsidR="00DA5DB5" w:rsidRPr="00C92CDC" w:rsidRDefault="00DA5DB5" w:rsidP="00DA5DB5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sz w:val="20"/>
          <w:szCs w:val="20"/>
        </w:rPr>
      </w:pPr>
      <w:r w:rsidRPr="00C92CDC">
        <w:rPr>
          <w:rStyle w:val="a4"/>
          <w:rFonts w:ascii="Times New Roman" w:hAnsi="Times New Roman"/>
          <w:bCs/>
          <w:i w:val="0"/>
          <w:sz w:val="20"/>
          <w:szCs w:val="20"/>
        </w:rPr>
        <w:t>Юридична адреса : 03115, м. Київ, вул. М. Котельникова, 32/11;</w:t>
      </w:r>
    </w:p>
    <w:p w14:paraId="276BB42F" w14:textId="34592CEA" w:rsidR="00DA5DB5" w:rsidRDefault="00DA5DB5" w:rsidP="00DA5DB5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sz w:val="20"/>
          <w:szCs w:val="20"/>
        </w:rPr>
      </w:pPr>
      <w:r w:rsidRPr="00C92CDC">
        <w:rPr>
          <w:rStyle w:val="a4"/>
          <w:rFonts w:ascii="Times New Roman" w:hAnsi="Times New Roman"/>
          <w:bCs/>
          <w:i w:val="0"/>
          <w:sz w:val="20"/>
          <w:szCs w:val="20"/>
        </w:rPr>
        <w:t>Код ЄДРПОУ 05395828.</w:t>
      </w:r>
    </w:p>
    <w:p w14:paraId="739503B8" w14:textId="2C6AD2F2" w:rsidR="00473B3D" w:rsidRPr="00473B3D" w:rsidRDefault="00473B3D" w:rsidP="00DA5DB5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sz w:val="20"/>
          <w:szCs w:val="20"/>
        </w:rPr>
      </w:pPr>
      <w:proofErr w:type="spellStart"/>
      <w:r>
        <w:rPr>
          <w:rStyle w:val="a4"/>
          <w:rFonts w:ascii="Times New Roman" w:hAnsi="Times New Roman"/>
          <w:bCs/>
          <w:i w:val="0"/>
          <w:sz w:val="20"/>
          <w:szCs w:val="20"/>
          <w:lang w:val="ru-RU"/>
        </w:rPr>
        <w:t>Категор</w:t>
      </w:r>
      <w:r>
        <w:rPr>
          <w:rStyle w:val="a4"/>
          <w:rFonts w:ascii="Times New Roman" w:hAnsi="Times New Roman"/>
          <w:bCs/>
          <w:i w:val="0"/>
          <w:sz w:val="20"/>
          <w:szCs w:val="20"/>
        </w:rPr>
        <w:t>ія</w:t>
      </w:r>
      <w:proofErr w:type="spellEnd"/>
      <w:r>
        <w:rPr>
          <w:rStyle w:val="a4"/>
          <w:rFonts w:ascii="Times New Roman" w:hAnsi="Times New Roman"/>
          <w:bCs/>
          <w:i w:val="0"/>
          <w:sz w:val="20"/>
          <w:szCs w:val="20"/>
        </w:rPr>
        <w:t xml:space="preserve"> – юридична особа, яка забезпечує потреби держави або територіальної громади.</w:t>
      </w:r>
    </w:p>
    <w:p w14:paraId="1AAAE0D9" w14:textId="77777777" w:rsidR="00DA5DB5" w:rsidRPr="00C92CDC" w:rsidRDefault="00DA5DB5" w:rsidP="00DA5DB5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uk-UA"/>
        </w:rPr>
      </w:pPr>
    </w:p>
    <w:p w14:paraId="5C1CCDAB" w14:textId="77777777" w:rsidR="00DA5DB5" w:rsidRPr="00C92CDC" w:rsidRDefault="00171A09" w:rsidP="00DA5D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2CDC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 xml:space="preserve">Назва предмета закупівлі </w:t>
      </w:r>
      <w:r w:rsidRPr="00C92CDC">
        <w:rPr>
          <w:rFonts w:ascii="Times New Roman" w:eastAsia="Times New Roman" w:hAnsi="Times New Roman"/>
          <w:b/>
          <w:color w:val="000000"/>
          <w:sz w:val="20"/>
          <w:szCs w:val="20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92CDC">
        <w:rPr>
          <w:rFonts w:ascii="Times New Roman" w:hAnsi="Times New Roman"/>
          <w:sz w:val="20"/>
          <w:szCs w:val="20"/>
        </w:rPr>
        <w:t xml:space="preserve"> </w:t>
      </w:r>
    </w:p>
    <w:p w14:paraId="750FD451" w14:textId="77777777" w:rsidR="00B1177C" w:rsidRPr="00B1177C" w:rsidRDefault="00B1177C" w:rsidP="00B1177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val="ru-RU"/>
        </w:rPr>
      </w:pPr>
      <w:r w:rsidRPr="00B1177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ДК 021:2015:   15890000-3 </w:t>
      </w:r>
      <w:proofErr w:type="spellStart"/>
      <w:r w:rsidRPr="00B1177C">
        <w:rPr>
          <w:rFonts w:ascii="Times New Roman" w:hAnsi="Times New Roman"/>
          <w:b/>
          <w:sz w:val="20"/>
          <w:szCs w:val="20"/>
          <w:u w:val="single"/>
          <w:lang w:val="ru-RU"/>
        </w:rPr>
        <w:t>Продукти</w:t>
      </w:r>
      <w:proofErr w:type="spellEnd"/>
      <w:r w:rsidRPr="00B1177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</w:t>
      </w:r>
      <w:proofErr w:type="spellStart"/>
      <w:r w:rsidRPr="00B1177C">
        <w:rPr>
          <w:rFonts w:ascii="Times New Roman" w:hAnsi="Times New Roman"/>
          <w:b/>
          <w:sz w:val="20"/>
          <w:szCs w:val="20"/>
          <w:u w:val="single"/>
          <w:lang w:val="ru-RU"/>
        </w:rPr>
        <w:t>харчування</w:t>
      </w:r>
      <w:proofErr w:type="spellEnd"/>
      <w:r w:rsidRPr="00B1177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та </w:t>
      </w:r>
      <w:proofErr w:type="spellStart"/>
      <w:r w:rsidRPr="00B1177C">
        <w:rPr>
          <w:rFonts w:ascii="Times New Roman" w:hAnsi="Times New Roman"/>
          <w:b/>
          <w:sz w:val="20"/>
          <w:szCs w:val="20"/>
          <w:u w:val="single"/>
          <w:lang w:val="ru-RU"/>
        </w:rPr>
        <w:t>сушені</w:t>
      </w:r>
      <w:proofErr w:type="spellEnd"/>
      <w:r w:rsidRPr="00B1177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</w:t>
      </w:r>
      <w:proofErr w:type="spellStart"/>
      <w:r w:rsidRPr="00B1177C">
        <w:rPr>
          <w:rFonts w:ascii="Times New Roman" w:hAnsi="Times New Roman"/>
          <w:b/>
          <w:sz w:val="20"/>
          <w:szCs w:val="20"/>
          <w:u w:val="single"/>
          <w:lang w:val="ru-RU"/>
        </w:rPr>
        <w:t>продукти</w:t>
      </w:r>
      <w:proofErr w:type="spellEnd"/>
      <w:r w:rsidRPr="00B1177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</w:t>
      </w:r>
      <w:proofErr w:type="spellStart"/>
      <w:r w:rsidRPr="00B1177C">
        <w:rPr>
          <w:rFonts w:ascii="Times New Roman" w:hAnsi="Times New Roman"/>
          <w:b/>
          <w:sz w:val="20"/>
          <w:szCs w:val="20"/>
          <w:u w:val="single"/>
          <w:lang w:val="ru-RU"/>
        </w:rPr>
        <w:t>різні</w:t>
      </w:r>
      <w:proofErr w:type="spellEnd"/>
    </w:p>
    <w:p w14:paraId="7B5117BD" w14:textId="77777777" w:rsidR="00B1177C" w:rsidRPr="00B1177C" w:rsidRDefault="00B1177C" w:rsidP="00B117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1177C">
        <w:rPr>
          <w:rFonts w:ascii="Times New Roman" w:hAnsi="Times New Roman"/>
          <w:b/>
          <w:sz w:val="20"/>
          <w:szCs w:val="20"/>
          <w:u w:val="single"/>
          <w:lang w:val="ru-RU"/>
        </w:rPr>
        <w:t>ЛОТ. 1 П</w:t>
      </w:r>
      <w:proofErr w:type="spellStart"/>
      <w:r w:rsidRPr="00B1177C">
        <w:rPr>
          <w:rFonts w:ascii="Times New Roman" w:hAnsi="Times New Roman"/>
          <w:b/>
          <w:sz w:val="20"/>
          <w:szCs w:val="20"/>
          <w:u w:val="single"/>
        </w:rPr>
        <w:t>родуктові</w:t>
      </w:r>
      <w:proofErr w:type="spellEnd"/>
      <w:r w:rsidRPr="00B1177C">
        <w:rPr>
          <w:rFonts w:ascii="Times New Roman" w:hAnsi="Times New Roman"/>
          <w:b/>
          <w:sz w:val="20"/>
          <w:szCs w:val="20"/>
          <w:u w:val="single"/>
        </w:rPr>
        <w:t xml:space="preserve"> набори малозабезпеченим, одиноким громадянам та іншим верствам населення міста Києва (щоквартальні)</w:t>
      </w:r>
    </w:p>
    <w:p w14:paraId="7108B8A6" w14:textId="77777777" w:rsidR="00B1177C" w:rsidRPr="00B1177C" w:rsidRDefault="00B1177C" w:rsidP="00B117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6A0B668" w14:textId="77777777" w:rsidR="00B1177C" w:rsidRPr="00B1177C" w:rsidRDefault="00B1177C" w:rsidP="00B1177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1177C">
        <w:rPr>
          <w:rFonts w:ascii="Times New Roman" w:hAnsi="Times New Roman"/>
          <w:b/>
          <w:sz w:val="20"/>
          <w:szCs w:val="20"/>
          <w:u w:val="single"/>
        </w:rPr>
        <w:t xml:space="preserve">ЛОТ. 2 Продуктові набори </w:t>
      </w:r>
      <w:r w:rsidRPr="00B1177C">
        <w:rPr>
          <w:rFonts w:ascii="Times New Roman" w:hAnsi="Times New Roman"/>
          <w:b/>
          <w:bCs/>
          <w:sz w:val="20"/>
          <w:szCs w:val="20"/>
          <w:u w:val="single"/>
        </w:rPr>
        <w:t xml:space="preserve">до  Дня </w:t>
      </w:r>
      <w:r w:rsidRPr="00B1177C">
        <w:rPr>
          <w:rFonts w:ascii="Times New Roman" w:hAnsi="Times New Roman"/>
          <w:b/>
          <w:sz w:val="20"/>
          <w:szCs w:val="20"/>
          <w:u w:val="single"/>
        </w:rPr>
        <w:t>пам'яті та примирення</w:t>
      </w:r>
      <w:r w:rsidRPr="00B1177C">
        <w:rPr>
          <w:rFonts w:ascii="Times New Roman" w:hAnsi="Times New Roman"/>
          <w:b/>
          <w:bCs/>
          <w:sz w:val="20"/>
          <w:szCs w:val="20"/>
          <w:u w:val="single"/>
        </w:rPr>
        <w:t>, Міжнародного дня людей з інвалідністю, Міжнародного Дня громадян похилого віку</w:t>
      </w:r>
    </w:p>
    <w:p w14:paraId="4697F42E" w14:textId="77777777" w:rsidR="00E1288A" w:rsidRPr="00C92CDC" w:rsidRDefault="00E1288A" w:rsidP="00DA5DB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0E5A25D8" w14:textId="6B6A8494" w:rsidR="004F6428" w:rsidRPr="00C92CDC" w:rsidRDefault="00171A09" w:rsidP="00E1288A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92CDC">
        <w:rPr>
          <w:rFonts w:ascii="Times New Roman" w:hAnsi="Times New Roman"/>
          <w:b/>
          <w:sz w:val="20"/>
          <w:szCs w:val="20"/>
        </w:rPr>
        <w:t>Вид та</w:t>
      </w:r>
      <w:r w:rsidR="00542949" w:rsidRPr="00C92CDC">
        <w:rPr>
          <w:rFonts w:ascii="Times New Roman" w:hAnsi="Times New Roman"/>
          <w:b/>
          <w:sz w:val="20"/>
          <w:szCs w:val="20"/>
        </w:rPr>
        <w:t>/або</w:t>
      </w:r>
      <w:r w:rsidRPr="00C92CDC">
        <w:rPr>
          <w:rFonts w:ascii="Times New Roman" w:hAnsi="Times New Roman"/>
          <w:b/>
          <w:sz w:val="20"/>
          <w:szCs w:val="20"/>
        </w:rPr>
        <w:t xml:space="preserve"> ідентифікатор процедури закупівлі</w:t>
      </w:r>
      <w:r w:rsidRPr="00C92CDC">
        <w:rPr>
          <w:rFonts w:ascii="Times New Roman" w:hAnsi="Times New Roman"/>
          <w:b/>
          <w:bCs/>
          <w:sz w:val="20"/>
          <w:szCs w:val="20"/>
        </w:rPr>
        <w:t>:</w:t>
      </w:r>
      <w:r w:rsidRPr="00C92CDC">
        <w:rPr>
          <w:rFonts w:ascii="Times New Roman" w:hAnsi="Times New Roman"/>
          <w:sz w:val="20"/>
          <w:szCs w:val="20"/>
        </w:rPr>
        <w:t xml:space="preserve"> </w:t>
      </w:r>
      <w:r w:rsidR="00C1735B">
        <w:rPr>
          <w:rFonts w:ascii="Times New Roman" w:hAnsi="Times New Roman"/>
          <w:sz w:val="20"/>
          <w:szCs w:val="20"/>
          <w:u w:val="single"/>
        </w:rPr>
        <w:t>Відкриті торги з особливостями</w:t>
      </w:r>
      <w:r w:rsidR="00E1288A" w:rsidRPr="00C92CDC">
        <w:rPr>
          <w:rFonts w:ascii="Times New Roman" w:hAnsi="Times New Roman"/>
          <w:sz w:val="20"/>
          <w:szCs w:val="20"/>
          <w:u w:val="single"/>
        </w:rPr>
        <w:t>.</w:t>
      </w:r>
    </w:p>
    <w:p w14:paraId="0883922F" w14:textId="77777777" w:rsidR="00C96492" w:rsidRDefault="00E1288A" w:rsidP="00E1288A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92CDC">
        <w:rPr>
          <w:rFonts w:ascii="Times New Roman" w:hAnsi="Times New Roman"/>
          <w:sz w:val="20"/>
          <w:szCs w:val="20"/>
          <w:u w:val="single"/>
        </w:rPr>
        <w:t>(згідно з   Закону України «Про публічні закупівлі» від 25 грудня 201</w:t>
      </w:r>
      <w:r w:rsidR="00C96492">
        <w:rPr>
          <w:rFonts w:ascii="Times New Roman" w:hAnsi="Times New Roman"/>
          <w:sz w:val="20"/>
          <w:szCs w:val="20"/>
          <w:u w:val="single"/>
        </w:rPr>
        <w:t xml:space="preserve">5 року № 922-VIII </w:t>
      </w:r>
      <w:r w:rsidRPr="00C92CDC">
        <w:rPr>
          <w:rFonts w:ascii="Times New Roman" w:hAnsi="Times New Roman"/>
          <w:sz w:val="20"/>
          <w:szCs w:val="20"/>
          <w:u w:val="single"/>
        </w:rPr>
        <w:t xml:space="preserve"> з урахуванням положень Особливостей здійснення публічних </w:t>
      </w:r>
      <w:proofErr w:type="spellStart"/>
      <w:r w:rsidRPr="00C92CDC">
        <w:rPr>
          <w:rFonts w:ascii="Times New Roman" w:hAnsi="Times New Roman"/>
          <w:sz w:val="20"/>
          <w:szCs w:val="20"/>
          <w:u w:val="single"/>
        </w:rPr>
        <w:t>закупівель</w:t>
      </w:r>
      <w:proofErr w:type="spellEnd"/>
      <w:r w:rsidRPr="00C92CDC">
        <w:rPr>
          <w:rFonts w:ascii="Times New Roman" w:hAnsi="Times New Roman"/>
          <w:sz w:val="20"/>
          <w:szCs w:val="20"/>
          <w:u w:val="single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КМУ від 12 жовтня 2022 </w:t>
      </w:r>
      <w:r w:rsidR="00C96492">
        <w:rPr>
          <w:rFonts w:ascii="Times New Roman" w:hAnsi="Times New Roman"/>
          <w:sz w:val="20"/>
          <w:szCs w:val="20"/>
          <w:u w:val="single"/>
        </w:rPr>
        <w:t>року № 1178)</w:t>
      </w:r>
      <w:r w:rsidRPr="00C92CDC">
        <w:rPr>
          <w:rFonts w:ascii="Times New Roman" w:hAnsi="Times New Roman"/>
          <w:sz w:val="20"/>
          <w:szCs w:val="20"/>
          <w:u w:val="single"/>
        </w:rPr>
        <w:t>.</w:t>
      </w:r>
      <w:r w:rsidR="00797DA0" w:rsidRPr="00C92CDC">
        <w:rPr>
          <w:rFonts w:ascii="Times New Roman" w:hAnsi="Times New Roman"/>
          <w:sz w:val="20"/>
          <w:szCs w:val="20"/>
          <w:u w:val="single"/>
        </w:rPr>
        <w:t xml:space="preserve"> </w:t>
      </w:r>
      <w:r w:rsidR="00C96492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6170249B" w14:textId="7C678879" w:rsidR="00C1735B" w:rsidRDefault="00B1177C" w:rsidP="00E1288A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0"/>
          <w:szCs w:val="20"/>
          <w:u w:val="single"/>
        </w:rPr>
      </w:pPr>
      <w:r>
        <w:rPr>
          <w:rFonts w:ascii="Times New Roman" w:hAnsi="Times New Roman"/>
          <w:b/>
          <w:bCs/>
          <w:color w:val="0000FF"/>
          <w:sz w:val="20"/>
          <w:szCs w:val="20"/>
          <w:u w:val="single"/>
        </w:rPr>
        <w:t xml:space="preserve"> </w:t>
      </w:r>
      <w:hyperlink r:id="rId7" w:tgtFrame="_blank" w:history="1">
        <w:r>
          <w:rPr>
            <w:rStyle w:val="a3"/>
            <w:rFonts w:ascii="Segoe UI" w:hAnsi="Segoe UI" w:cs="Segoe UI"/>
            <w:color w:val="2D8CF0"/>
            <w:sz w:val="21"/>
            <w:szCs w:val="21"/>
            <w:shd w:val="clear" w:color="auto" w:fill="FFFFFF"/>
          </w:rPr>
          <w:t>UA-2023-01-26-008173-a</w:t>
        </w:r>
      </w:hyperlink>
    </w:p>
    <w:p w14:paraId="6870F13B" w14:textId="77777777" w:rsidR="0044277B" w:rsidRDefault="0044277B" w:rsidP="00E1288A">
      <w:pPr>
        <w:spacing w:after="0" w:line="240" w:lineRule="auto"/>
        <w:jc w:val="both"/>
        <w:rPr>
          <w:rStyle w:val="a3"/>
          <w:rFonts w:ascii="Times New Roman" w:hAnsi="Times New Roman"/>
          <w:sz w:val="20"/>
          <w:szCs w:val="20"/>
        </w:rPr>
      </w:pPr>
    </w:p>
    <w:p w14:paraId="3EB444A7" w14:textId="674872FC" w:rsidR="00C1735B" w:rsidRPr="00C1735B" w:rsidRDefault="00C1735B" w:rsidP="00E1288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1735B">
        <w:rPr>
          <w:rFonts w:ascii="Times New Roman" w:hAnsi="Times New Roman"/>
          <w:b/>
          <w:sz w:val="20"/>
          <w:szCs w:val="20"/>
          <w:u w:val="single"/>
        </w:rPr>
        <w:t>Обґрунтування  закупівлі:</w:t>
      </w:r>
    </w:p>
    <w:p w14:paraId="58E7F978" w14:textId="77777777" w:rsidR="00B1177C" w:rsidRPr="00B1177C" w:rsidRDefault="00B1177C" w:rsidP="00DE33B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B1177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В структурі Київського міського територіального центру соціального обслуговування (далі – Територіальний центр) функціонує відділення організації надання адресної та натуральної допомоги для обслуговування громадян похилого віку, осіб з інвалідністю, хворих (з числа осіб працездатного віку на період встановлення їм інвалідності, але не більш як чотири місяці), громадян, які перебувають у складній життєвій ситуації у зв'язку з безробіттям, стихійним лихом, катастрофою, у разі коли вони мають на своєму утриманні неповнолітніх дітей, дітей-інвалідів, осіб похилого віку, осіб з інвалідністю і відповідно до акту обстеження матеріально-побутових умов потребують натуральної допомоги, внутрішньо переміщені особи.  Відділення надає </w:t>
      </w:r>
      <w:r w:rsidRPr="00DE33B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Соціально-економічні послуги</w:t>
      </w:r>
      <w:r w:rsidRPr="00B1177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 та П</w:t>
      </w:r>
      <w:r w:rsidRPr="00DE33B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ослуги натуральної допомоги</w:t>
      </w:r>
      <w:r w:rsidRPr="00B1177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 - </w:t>
      </w:r>
      <w:proofErr w:type="spellStart"/>
      <w:r w:rsidRPr="00B1177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перукарськi</w:t>
      </w:r>
      <w:proofErr w:type="spellEnd"/>
      <w:r w:rsidRPr="00B1177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, з ремонту одягу.</w:t>
      </w:r>
    </w:p>
    <w:p w14:paraId="565A591E" w14:textId="77777777" w:rsidR="00B1177C" w:rsidRPr="00B1177C" w:rsidRDefault="00B1177C" w:rsidP="00B1177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B1177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Відповідно до Закону України "Про психіатричну допомогу" соціальний захист та обслуговування осіб з розладами психіки забезпечує спеціалізоване відділення соціальної допомоги вдома інвалідам з психічними захворюваннями (далі - спеціалізоване відділення) при Київському міському територіальному центрі соціального обслуговування. </w:t>
      </w:r>
    </w:p>
    <w:p w14:paraId="6319BCA5" w14:textId="77777777" w:rsidR="00B1177C" w:rsidRPr="00B1177C" w:rsidRDefault="00B1177C" w:rsidP="00DE33B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B1177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У спеціалізованому відділенні перебувають на надомному обслуговуванні особи з психічними захворюваннями, які знаходяться в складних життєвих обставинах та розмір пенсії яких не перевищує три прожиткових мінімуми для непрацездатних осіб. Це одинокі люди, які не мають сторонньої підтримки та допомоги, які не в змозі себе забезпечити самим необхідним, зокрема це є питання придбання продуктів харчування. </w:t>
      </w:r>
    </w:p>
    <w:p w14:paraId="6D670398" w14:textId="77777777" w:rsidR="00B1177C" w:rsidRPr="00B1177C" w:rsidRDefault="00B1177C" w:rsidP="00B1177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B1177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На сьогоднішній день одна з головних цілей нашої роботи – забезпечити допомогу людям похилого віку у підтримці звичних обов’язків, функцій та стосунків з оточуючими людьми. Слід створити такі умови, при яких людина похилого віку зможе зберегти гарантію певної стабільності та можливість отримати натуральну допомогу.</w:t>
      </w:r>
    </w:p>
    <w:p w14:paraId="2401CF83" w14:textId="77777777" w:rsidR="00B1177C" w:rsidRPr="00B1177C" w:rsidRDefault="00B1177C" w:rsidP="00DE33B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0"/>
          <w:szCs w:val="20"/>
          <w:lang w:val="ru-RU" w:eastAsia="ru-RU"/>
        </w:rPr>
      </w:pPr>
      <w:r w:rsidRPr="00B1177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З метою соціального захисту мало захищених верств населення громадян, вирішення проблем соціально-побутового характеру тощо була розроблена міська цільова програма “Турбота. Назустріч киянам ” на 2022-2024 роки.</w:t>
      </w:r>
    </w:p>
    <w:p w14:paraId="7482A0A4" w14:textId="77777777" w:rsidR="00B1177C" w:rsidRPr="00B1177C" w:rsidRDefault="00B1177C" w:rsidP="00DE33B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B1177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Одним із заходів Програми, що був включений в кошторис витрат Київського міського територіального центру соціального обслуговування – це забезпечення продуктовими наборами малозабезпечених одиноких громадян та інших верств населення м. Києва, що включає  в себе :</w:t>
      </w:r>
    </w:p>
    <w:p w14:paraId="52599B6E" w14:textId="77777777" w:rsidR="00B1177C" w:rsidRPr="00B1177C" w:rsidRDefault="00B1177C" w:rsidP="00B117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u w:val="single"/>
          <w:lang w:eastAsia="ru-RU"/>
        </w:rPr>
      </w:pPr>
      <w:r w:rsidRPr="00B1177C">
        <w:rPr>
          <w:rFonts w:ascii="Times New Roman" w:eastAsia="Times New Roman" w:hAnsi="Times New Roman"/>
          <w:b/>
          <w:bCs/>
          <w:i/>
          <w:iCs/>
          <w:sz w:val="20"/>
          <w:szCs w:val="20"/>
          <w:u w:val="single"/>
          <w:lang w:eastAsia="ru-RU"/>
        </w:rPr>
        <w:t>забезпечення  продуктовими наборами малозабезпечених одиноких громадян та інших верств населення м. Києва щоквартально,</w:t>
      </w:r>
    </w:p>
    <w:p w14:paraId="52AC9B82" w14:textId="77777777" w:rsidR="00B1177C" w:rsidRPr="00B1177C" w:rsidRDefault="00B1177C" w:rsidP="00B117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u w:val="single"/>
          <w:lang w:eastAsia="ru-RU"/>
        </w:rPr>
      </w:pPr>
      <w:r w:rsidRPr="00B1177C">
        <w:rPr>
          <w:rFonts w:ascii="Times New Roman" w:eastAsia="Times New Roman" w:hAnsi="Times New Roman"/>
          <w:b/>
          <w:bCs/>
          <w:i/>
          <w:iCs/>
          <w:sz w:val="20"/>
          <w:szCs w:val="20"/>
          <w:u w:val="single"/>
          <w:lang w:eastAsia="ru-RU"/>
        </w:rPr>
        <w:lastRenderedPageBreak/>
        <w:t>забезпечення продуктовими наборами до Дня пам'яті та примирення, Міжнародного дня громадян похилого віку.</w:t>
      </w:r>
    </w:p>
    <w:p w14:paraId="42D6AE2E" w14:textId="77777777" w:rsidR="00B1177C" w:rsidRPr="00B1177C" w:rsidRDefault="00B1177C" w:rsidP="00B1177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  <w:r w:rsidRPr="00B1177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Видатки на виконання цих заходів у 2023 році  затверджені в сумі 2234,400 тис. грн. (два мільйони двісті тридцять чотири тисячі чотириста гривень)</w:t>
      </w:r>
    </w:p>
    <w:p w14:paraId="40E50064" w14:textId="77777777" w:rsidR="00B1177C" w:rsidRDefault="00B1177C" w:rsidP="00B1177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B1177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         Відповідно до вимог </w:t>
      </w:r>
      <w:hyperlink r:id="rId8">
        <w:r w:rsidRPr="00B1177C">
          <w:rPr>
            <w:rStyle w:val="a3"/>
            <w:rFonts w:ascii="Times New Roman" w:eastAsia="Times New Roman" w:hAnsi="Times New Roman"/>
            <w:bCs/>
            <w:iCs/>
            <w:sz w:val="20"/>
            <w:szCs w:val="20"/>
            <w:lang w:eastAsia="ru-RU"/>
          </w:rPr>
          <w:t>Закону</w:t>
        </w:r>
      </w:hyperlink>
      <w:r w:rsidRPr="00B1177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України «Про публічні закупівлі», п. 10 Особливостей здійснення публічних </w:t>
      </w:r>
      <w:proofErr w:type="spellStart"/>
      <w:r w:rsidRPr="00B1177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закупівель</w:t>
      </w:r>
      <w:proofErr w:type="spellEnd"/>
      <w:r w:rsidRPr="00B1177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  затверджених постановою КМУ від 12 жовтня 2022 р. № 1178 застосується одна з процедур закупівлі, а саме відкриті торги з особливостями.</w:t>
      </w:r>
    </w:p>
    <w:p w14:paraId="1BCB3277" w14:textId="77777777" w:rsidR="00B1177C" w:rsidRPr="00B1177C" w:rsidRDefault="00B1177C" w:rsidP="00B1177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B1177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Забезпечення продуктовими наборами на 2023 рік розраховано:</w:t>
      </w:r>
    </w:p>
    <w:p w14:paraId="5D5BC86F" w14:textId="77777777" w:rsidR="00B1177C" w:rsidRPr="00B1177C" w:rsidRDefault="00B1177C" w:rsidP="00B1177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B1177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щоквартальні продуктові набори для малозабезпечених одиноких громадян та інших верств населення м. Києва </w:t>
      </w:r>
      <w:r w:rsidRPr="00B1177C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на 386 осіб</w:t>
      </w:r>
      <w:r w:rsidRPr="00B1177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, які перебувають на обліку у спеціалізованому відділенні та відділенні організації надання адресної та натуральної допомоги, відділенні надання транспортних послуг.</w:t>
      </w:r>
    </w:p>
    <w:p w14:paraId="252535EC" w14:textId="77777777" w:rsidR="00B1177C" w:rsidRPr="00B1177C" w:rsidRDefault="00B1177C" w:rsidP="00B1177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B1177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до Дня пам'яті та примирення, Міжнародного дня людей з інвалідністю та Дня людини похилого віку</w:t>
      </w:r>
      <w:r w:rsidRPr="00B1177C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 на 1408 осіб,</w:t>
      </w:r>
      <w:r w:rsidRPr="00B1177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які перебувають на обліку у відділенні організації надання адресної та натуральної допомоги та спеціалізованому відділенні, відділенні надання транспортних послуг.</w:t>
      </w:r>
    </w:p>
    <w:p w14:paraId="183982DC" w14:textId="77777777" w:rsidR="00B1177C" w:rsidRPr="00B1177C" w:rsidRDefault="00B1177C" w:rsidP="00B1177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14:paraId="4CB919B3" w14:textId="77777777" w:rsidR="00C1735B" w:rsidRDefault="005A4077" w:rsidP="00C1735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92CDC">
        <w:rPr>
          <w:rFonts w:ascii="Times New Roman" w:hAnsi="Times New Roman"/>
          <w:b/>
          <w:sz w:val="20"/>
          <w:szCs w:val="20"/>
        </w:rPr>
        <w:t>Обґрунтування</w:t>
      </w:r>
      <w:r w:rsidRPr="00C92CDC">
        <w:rPr>
          <w:rFonts w:ascii="Times New Roman" w:hAnsi="Times New Roman"/>
          <w:bCs/>
          <w:sz w:val="20"/>
          <w:szCs w:val="20"/>
        </w:rPr>
        <w:t xml:space="preserve"> </w:t>
      </w:r>
      <w:r w:rsidRPr="00C92CDC">
        <w:rPr>
          <w:rFonts w:ascii="Times New Roman" w:hAnsi="Times New Roman"/>
          <w:b/>
          <w:sz w:val="20"/>
          <w:szCs w:val="20"/>
        </w:rPr>
        <w:t xml:space="preserve">технічних та якісних характеристик закупівлі </w:t>
      </w:r>
    </w:p>
    <w:p w14:paraId="6F668A95" w14:textId="28A831A1" w:rsidR="00797DA0" w:rsidRPr="00B1177C" w:rsidRDefault="00FC3502" w:rsidP="00617D23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</w:pPr>
      <w:r w:rsidRPr="00B1177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      </w:t>
      </w:r>
      <w:r w:rsidR="00B1177C" w:rsidRPr="00B1177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Якісні характеристики щодо закупівлі відповідних товарів мають відповідати державним стандартам та нормам законодавства діючим на території України, які підтверджені відповідними сертифікатами, ДСТУ, ТУ. Товари повинні мати маркування у відповідності до вимог законодавства України. Маркування забезпечується на підставі вимог Технічного регламенту щодо маркування продуктів харчування </w:t>
      </w:r>
      <w:r w:rsidR="00B1177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та ДСТУ</w:t>
      </w:r>
      <w:r w:rsidR="00C1735B" w:rsidRPr="00C1735B">
        <w:rPr>
          <w:rStyle w:val="a4"/>
          <w:bCs/>
          <w:i w:val="0"/>
          <w:sz w:val="20"/>
          <w:szCs w:val="20"/>
          <w:lang w:eastAsia="ru-RU"/>
        </w:rPr>
        <w:t xml:space="preserve"> </w:t>
      </w:r>
    </w:p>
    <w:p w14:paraId="1AEBFA5B" w14:textId="77777777" w:rsidR="00C5739A" w:rsidRPr="00C92CDC" w:rsidRDefault="005A4077" w:rsidP="00797D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uk-UA"/>
        </w:rPr>
      </w:pPr>
      <w:proofErr w:type="spellStart"/>
      <w:r w:rsidRPr="00C92CDC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Обгрунтування</w:t>
      </w:r>
      <w:proofErr w:type="spellEnd"/>
      <w:r w:rsidRPr="00C92CDC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 xml:space="preserve"> р</w:t>
      </w:r>
      <w:r w:rsidR="00171A09" w:rsidRPr="00C92CDC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озмір</w:t>
      </w:r>
      <w:r w:rsidRPr="00C92CDC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у</w:t>
      </w:r>
      <w:r w:rsidR="00171A09" w:rsidRPr="00C92CDC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 xml:space="preserve"> бюджетного призначення:</w:t>
      </w:r>
      <w:r w:rsidR="00096169" w:rsidRPr="00C92CDC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 xml:space="preserve"> </w:t>
      </w:r>
    </w:p>
    <w:p w14:paraId="69C2D5C6" w14:textId="4B0C2C8B" w:rsidR="001977B4" w:rsidRPr="00C92CDC" w:rsidRDefault="00C5739A" w:rsidP="00327F0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uk-UA"/>
        </w:rPr>
      </w:pPr>
      <w:r w:rsidRPr="00C92CDC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>Р</w:t>
      </w:r>
      <w:r w:rsidR="00096169" w:rsidRPr="00C92CDC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 xml:space="preserve">озмір </w:t>
      </w:r>
      <w:r w:rsidR="008961BB" w:rsidRPr="00C92CDC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>бюд</w:t>
      </w:r>
      <w:r w:rsidR="00096169" w:rsidRPr="00C92CDC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 xml:space="preserve">жетного призначення визначений відповідно до </w:t>
      </w:r>
      <w:r w:rsidR="00C92CDC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 xml:space="preserve"> </w:t>
      </w:r>
      <w:r w:rsidR="00F97260" w:rsidRPr="00C92CDC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 xml:space="preserve"> ро</w:t>
      </w:r>
      <w:r w:rsidR="007955D7" w:rsidRPr="00C92CDC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>з</w:t>
      </w:r>
      <w:r w:rsidR="00F97260" w:rsidRPr="00C92CDC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>рахунків до кошторис</w:t>
      </w:r>
      <w:r w:rsidR="007955D7" w:rsidRPr="00C92CDC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>у</w:t>
      </w:r>
      <w:r w:rsidR="00F97260" w:rsidRPr="00C92CDC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 xml:space="preserve"> видатків   </w:t>
      </w:r>
      <w:r w:rsidR="007955D7" w:rsidRPr="00C92CDC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 xml:space="preserve"> із зага</w:t>
      </w:r>
      <w:r w:rsidR="00F97260" w:rsidRPr="00C92CDC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 xml:space="preserve">льного фонду місцевого бюджету на 2023 рік.  </w:t>
      </w:r>
      <w:r w:rsidR="007955D7" w:rsidRPr="00C92CDC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>Кошторис на 2023 рік затверджений  Департаментом соціальної політики виконавчого органу Київськ</w:t>
      </w:r>
      <w:r w:rsidR="00C92CDC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>ої міської ради (Київської міськ</w:t>
      </w:r>
      <w:r w:rsidR="007955D7" w:rsidRPr="00C92CDC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>ої державної адміністрації)</w:t>
      </w:r>
      <w:r w:rsidRPr="00C92CDC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 xml:space="preserve"> </w:t>
      </w:r>
      <w:r w:rsidRPr="00C92CDC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 xml:space="preserve"> </w:t>
      </w:r>
      <w:r w:rsidRPr="00C92CDC">
        <w:rPr>
          <w:rFonts w:ascii="Times New Roman" w:eastAsia="Times New Roman" w:hAnsi="Times New Roman"/>
          <w:bCs/>
          <w:sz w:val="20"/>
          <w:szCs w:val="20"/>
          <w:lang w:eastAsia="uk-UA"/>
        </w:rPr>
        <w:t>Розміру бюджетного призначення</w:t>
      </w:r>
      <w:r w:rsidR="00AB0674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КЕКВ </w:t>
      </w:r>
      <w:r w:rsidR="00B1177C">
        <w:rPr>
          <w:b/>
          <w:sz w:val="20"/>
          <w:szCs w:val="20"/>
        </w:rPr>
        <w:t xml:space="preserve">2730 </w:t>
      </w:r>
      <w:r w:rsidRPr="00C92CDC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становить –</w:t>
      </w:r>
      <w:r w:rsidR="00B1177C" w:rsidRPr="00B1177C">
        <w:rPr>
          <w:rFonts w:ascii="Times New Roman" w:eastAsia="Times New Roman" w:hAnsi="Times New Roman"/>
          <w:bCs/>
          <w:sz w:val="20"/>
          <w:szCs w:val="20"/>
          <w:lang w:eastAsia="uk-UA"/>
        </w:rPr>
        <w:t>2 234 400,00 грн. з ПДВ</w:t>
      </w:r>
    </w:p>
    <w:p w14:paraId="25AA2591" w14:textId="77777777" w:rsidR="00797DA0" w:rsidRPr="00C92CDC" w:rsidRDefault="00797DA0" w:rsidP="00797DA0">
      <w:pPr>
        <w:spacing w:after="0" w:line="240" w:lineRule="auto"/>
        <w:jc w:val="both"/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</w:pPr>
    </w:p>
    <w:p w14:paraId="1B48F2C4" w14:textId="305FE48B" w:rsidR="00F1525D" w:rsidRPr="00C92CDC" w:rsidRDefault="005A4077" w:rsidP="00797DA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92CDC">
        <w:rPr>
          <w:rFonts w:ascii="Times New Roman" w:hAnsi="Times New Roman"/>
          <w:b/>
          <w:sz w:val="20"/>
          <w:szCs w:val="20"/>
        </w:rPr>
        <w:t>Обґрунтування</w:t>
      </w:r>
      <w:r w:rsidR="00F1525D" w:rsidRPr="00C92CDC">
        <w:rPr>
          <w:rFonts w:ascii="Times New Roman" w:hAnsi="Times New Roman"/>
          <w:b/>
          <w:sz w:val="20"/>
          <w:szCs w:val="20"/>
        </w:rPr>
        <w:t xml:space="preserve"> очікуваної</w:t>
      </w:r>
      <w:r w:rsidR="00F40617">
        <w:rPr>
          <w:rFonts w:ascii="Times New Roman" w:hAnsi="Times New Roman"/>
          <w:b/>
          <w:sz w:val="20"/>
          <w:szCs w:val="20"/>
        </w:rPr>
        <w:t xml:space="preserve">  вартості закупівлі</w:t>
      </w:r>
      <w:r w:rsidR="00C5739A" w:rsidRPr="00C92CDC">
        <w:rPr>
          <w:rFonts w:ascii="Times New Roman" w:hAnsi="Times New Roman"/>
          <w:b/>
          <w:sz w:val="20"/>
          <w:szCs w:val="20"/>
        </w:rPr>
        <w:t>.</w:t>
      </w:r>
    </w:p>
    <w:p w14:paraId="7D77F726" w14:textId="09EF2B1E" w:rsidR="00617D23" w:rsidRDefault="007929EB" w:rsidP="00617D23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</w:pPr>
      <w:r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 xml:space="preserve">    </w:t>
      </w:r>
      <w:r w:rsidR="00F40617" w:rsidRPr="00F40617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>Середня ціна, згідно з якою розраховуєть</w:t>
      </w:r>
      <w:r w:rsidR="00F40617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 xml:space="preserve">ся очікувана вартість </w:t>
      </w:r>
      <w:r w:rsidRPr="007929EB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>предмета закупівлі розрахована</w:t>
      </w:r>
      <w:r w:rsidR="00617D23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 xml:space="preserve"> на підставі </w:t>
      </w:r>
      <w:r w:rsidRPr="007929EB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 xml:space="preserve">  моніторингу  цін</w:t>
      </w:r>
      <w:r w:rsidR="00617D23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 xml:space="preserve">,   що   склалися </w:t>
      </w:r>
      <w:r w:rsidRPr="007929EB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 xml:space="preserve">станом на </w:t>
      </w:r>
      <w:r w:rsidR="00617D23" w:rsidRPr="00617D23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>19.01.2023 року</w:t>
      </w:r>
      <w:r w:rsidR="00F40617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 xml:space="preserve">. </w:t>
      </w:r>
    </w:p>
    <w:p w14:paraId="17967CF6" w14:textId="1718D759" w:rsidR="00617D23" w:rsidRPr="00CF5A36" w:rsidRDefault="00617D23" w:rsidP="00617D23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/>
          <w:i w:val="0"/>
          <w:iCs w:val="0"/>
          <w:sz w:val="20"/>
          <w:szCs w:val="20"/>
          <w:lang w:eastAsia="ru-RU"/>
        </w:rPr>
      </w:pPr>
      <w:r w:rsidRPr="00CF5A36">
        <w:rPr>
          <w:rStyle w:val="a4"/>
          <w:rFonts w:ascii="Times New Roman" w:eastAsia="Times New Roman" w:hAnsi="Times New Roman"/>
          <w:i w:val="0"/>
          <w:iCs w:val="0"/>
          <w:sz w:val="20"/>
          <w:szCs w:val="20"/>
          <w:lang w:eastAsia="ru-RU"/>
        </w:rPr>
        <w:t xml:space="preserve">- </w:t>
      </w:r>
      <w:r w:rsidRPr="00CF5A36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ЛОТ. 1 Продуктові набори малозабезпеченим, одиноким громадянам та іншим верствам населення міста Києва (щоквартальні)</w:t>
      </w:r>
      <w:r w:rsidRPr="00CF5A36">
        <w:rPr>
          <w:rStyle w:val="a4"/>
          <w:rFonts w:ascii="Times New Roman" w:eastAsia="Times New Roman" w:hAnsi="Times New Roman"/>
          <w:i w:val="0"/>
          <w:iCs w:val="0"/>
          <w:sz w:val="20"/>
          <w:szCs w:val="20"/>
          <w:lang w:eastAsia="ru-RU"/>
        </w:rPr>
        <w:t xml:space="preserve"> - 1389</w:t>
      </w:r>
      <w:r w:rsidRPr="00CF5A36">
        <w:rPr>
          <w:rStyle w:val="a4"/>
          <w:rFonts w:ascii="Times New Roman" w:eastAsia="Times New Roman" w:hAnsi="Times New Roman"/>
          <w:i w:val="0"/>
          <w:sz w:val="20"/>
          <w:szCs w:val="20"/>
          <w:lang w:eastAsia="ru-RU"/>
        </w:rPr>
        <w:t>,6  тис. грн. (один мі</w:t>
      </w:r>
      <w:r w:rsidR="00CF5A36">
        <w:rPr>
          <w:rStyle w:val="a4"/>
          <w:rFonts w:ascii="Times New Roman" w:eastAsia="Times New Roman" w:hAnsi="Times New Roman"/>
          <w:i w:val="0"/>
          <w:sz w:val="20"/>
          <w:szCs w:val="20"/>
          <w:lang w:eastAsia="ru-RU"/>
        </w:rPr>
        <w:t>льйон триста вісімдесят  дев’ять</w:t>
      </w:r>
      <w:bookmarkStart w:id="0" w:name="_GoBack"/>
      <w:bookmarkEnd w:id="0"/>
      <w:r w:rsidRPr="00CF5A36">
        <w:rPr>
          <w:rStyle w:val="a4"/>
          <w:rFonts w:ascii="Times New Roman" w:eastAsia="Times New Roman" w:hAnsi="Times New Roman"/>
          <w:i w:val="0"/>
          <w:sz w:val="20"/>
          <w:szCs w:val="20"/>
          <w:lang w:eastAsia="ru-RU"/>
        </w:rPr>
        <w:t xml:space="preserve"> тисяч шістсот  гривень).</w:t>
      </w:r>
      <w:r w:rsidRPr="00CF5A36">
        <w:rPr>
          <w:rStyle w:val="a4"/>
          <w:rFonts w:ascii="Times New Roman" w:eastAsia="Times New Roman" w:hAnsi="Times New Roman"/>
          <w:i w:val="0"/>
          <w:iCs w:val="0"/>
          <w:sz w:val="20"/>
          <w:szCs w:val="20"/>
          <w:lang w:eastAsia="ru-RU"/>
        </w:rPr>
        <w:t>00 коп., у тому числі ПДВ).</w:t>
      </w:r>
    </w:p>
    <w:p w14:paraId="66C067BC" w14:textId="77777777" w:rsidR="00CF5A36" w:rsidRDefault="00CF5A36" w:rsidP="00617D23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/>
          <w:iCs w:val="0"/>
          <w:sz w:val="20"/>
          <w:szCs w:val="20"/>
          <w:lang w:eastAsia="ru-RU"/>
        </w:rPr>
      </w:pPr>
    </w:p>
    <w:p w14:paraId="6729CA81" w14:textId="77777777" w:rsidR="00CF5A36" w:rsidRDefault="00CF5A36" w:rsidP="00617D23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/>
          <w:iCs w:val="0"/>
          <w:sz w:val="20"/>
          <w:szCs w:val="20"/>
          <w:lang w:eastAsia="ru-RU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3869"/>
        <w:gridCol w:w="1358"/>
        <w:gridCol w:w="1409"/>
        <w:gridCol w:w="1565"/>
        <w:gridCol w:w="1287"/>
      </w:tblGrid>
      <w:tr w:rsidR="00CF5A36" w:rsidRPr="00CF5A36" w14:paraId="20533D22" w14:textId="77777777" w:rsidTr="00CF5A36">
        <w:trPr>
          <w:trHeight w:val="915"/>
        </w:trPr>
        <w:tc>
          <w:tcPr>
            <w:tcW w:w="367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E056AE5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Склад одного продуктового набору</w:t>
            </w:r>
          </w:p>
        </w:tc>
        <w:tc>
          <w:tcPr>
            <w:tcW w:w="128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0E2C289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Одиниця виміру</w:t>
            </w:r>
          </w:p>
        </w:tc>
        <w:tc>
          <w:tcPr>
            <w:tcW w:w="133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64DD876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4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37606C8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Середня ціна по            м. Києву</w:t>
            </w:r>
          </w:p>
        </w:tc>
        <w:tc>
          <w:tcPr>
            <w:tcW w:w="122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1EEC6F3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Сума</w:t>
            </w:r>
          </w:p>
        </w:tc>
      </w:tr>
      <w:tr w:rsidR="00CF5A36" w:rsidRPr="00CF5A36" w14:paraId="79720DEB" w14:textId="77777777" w:rsidTr="00CF5A36">
        <w:trPr>
          <w:trHeight w:val="76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45D078F" w14:textId="77777777" w:rsidR="00CF5A36" w:rsidRPr="00CF5A36" w:rsidRDefault="00CF5A36" w:rsidP="000C190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Консерва</w:t>
            </w:r>
            <w:proofErr w:type="spellEnd"/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рибна сардина атлантична бланшована в олії, 230 – 240 гр.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FF7DA5A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280B3FF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E85F681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44EADE6" w14:textId="77777777" w:rsidR="00CF5A36" w:rsidRPr="00CF5A36" w:rsidRDefault="00CF5A36" w:rsidP="000C190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  56,1</w:t>
            </w:r>
          </w:p>
        </w:tc>
      </w:tr>
      <w:tr w:rsidR="00CF5A36" w:rsidRPr="00CF5A36" w14:paraId="2758B028" w14:textId="77777777" w:rsidTr="00CF5A36">
        <w:trPr>
          <w:trHeight w:val="39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78CE782" w14:textId="77777777" w:rsidR="00CF5A36" w:rsidRPr="00CF5A36" w:rsidRDefault="00CF5A36" w:rsidP="000C190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Олія соняшникова рафінована фасована, 0,85-1 л.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39A38DF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E84AA44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284B1B8" w14:textId="77777777" w:rsidR="00CF5A36" w:rsidRPr="00CF5A36" w:rsidRDefault="00CF5A36" w:rsidP="000C190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    71,08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7A2B078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142,16</w:t>
            </w:r>
          </w:p>
        </w:tc>
      </w:tr>
      <w:tr w:rsidR="00CF5A36" w:rsidRPr="00CF5A36" w14:paraId="1F8E5439" w14:textId="77777777" w:rsidTr="00CF5A36">
        <w:trPr>
          <w:trHeight w:val="513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06AA9BA" w14:textId="77777777" w:rsidR="00CF5A36" w:rsidRPr="00CF5A36" w:rsidRDefault="00CF5A36" w:rsidP="000C190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Цукор білий, 1 кг.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6FE0B13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AFBD52F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A2E3A86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38,22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A880757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76,44</w:t>
            </w:r>
          </w:p>
        </w:tc>
      </w:tr>
      <w:tr w:rsidR="00CF5A36" w:rsidRPr="00CF5A36" w14:paraId="6D53BB51" w14:textId="77777777" w:rsidTr="00CF5A36">
        <w:trPr>
          <w:trHeight w:val="513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241CA5A" w14:textId="77777777" w:rsidR="00CF5A36" w:rsidRPr="00CF5A36" w:rsidRDefault="00CF5A36" w:rsidP="000C190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Рис шліфований першого ґатунку, 1 кг.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0FCA8A7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7DECCDC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965E49E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500734A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127,6</w:t>
            </w:r>
          </w:p>
        </w:tc>
      </w:tr>
      <w:tr w:rsidR="00CF5A36" w:rsidRPr="00CF5A36" w14:paraId="5E88FF76" w14:textId="77777777" w:rsidTr="00CF5A36">
        <w:trPr>
          <w:trHeight w:val="39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045FFAC" w14:textId="77777777" w:rsidR="00CF5A36" w:rsidRPr="00CF5A36" w:rsidRDefault="00CF5A36" w:rsidP="000C190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Крупа гречана 1 </w:t>
            </w:r>
            <w:proofErr w:type="spellStart"/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гатунку</w:t>
            </w:r>
            <w:proofErr w:type="spellEnd"/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          1 кг.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86E3D07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82823B1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6EDF13A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14C1331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150,6</w:t>
            </w:r>
          </w:p>
        </w:tc>
      </w:tr>
      <w:tr w:rsidR="00CF5A36" w:rsidRPr="00CF5A36" w14:paraId="335433E5" w14:textId="77777777" w:rsidTr="00CF5A36">
        <w:trPr>
          <w:trHeight w:val="39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8BD48B4" w14:textId="77777777" w:rsidR="00CF5A36" w:rsidRPr="00CF5A36" w:rsidRDefault="00CF5A36" w:rsidP="000C190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Паштет з м’яса індички, 240 гр.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209B09D8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6D55EE2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2A605E0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63C534A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91,0</w:t>
            </w:r>
          </w:p>
        </w:tc>
      </w:tr>
      <w:tr w:rsidR="00CF5A36" w:rsidRPr="00CF5A36" w14:paraId="07E6E364" w14:textId="77777777" w:rsidTr="00CF5A36">
        <w:trPr>
          <w:trHeight w:val="39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057B541" w14:textId="77777777" w:rsidR="00CF5A36" w:rsidRPr="00CF5A36" w:rsidRDefault="00CF5A36" w:rsidP="000C190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Свинина ту</w:t>
            </w:r>
            <w:proofErr w:type="spellStart"/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шкована</w:t>
            </w:r>
            <w:proofErr w:type="spellEnd"/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              500-525 гр.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7FD14903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AEB0675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5636E7A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2920C19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210,8</w:t>
            </w:r>
          </w:p>
        </w:tc>
      </w:tr>
      <w:tr w:rsidR="00CF5A36" w:rsidRPr="00CF5A36" w14:paraId="66050F26" w14:textId="77777777" w:rsidTr="00CF5A36">
        <w:trPr>
          <w:trHeight w:val="39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FAE31AB" w14:textId="77777777" w:rsidR="00CF5A36" w:rsidRPr="00CF5A36" w:rsidRDefault="00CF5A36" w:rsidP="000C190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Горошок зелений консервований, 400-420гр.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8B44BC2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7CB14C3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4E85B07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0F8DB63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45,3</w:t>
            </w:r>
          </w:p>
        </w:tc>
      </w:tr>
      <w:tr w:rsidR="00CF5A36" w:rsidRPr="00CF5A36" w14:paraId="638F7FFD" w14:textId="77777777" w:rsidTr="00CF5A36">
        <w:trPr>
          <w:trHeight w:val="39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B2308C2" w14:textId="77777777" w:rsidR="00CF5A36" w:rsidRPr="00CF5A36" w:rsidRDefault="00CF5A36" w:rsidP="000C190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Вартість одного продуктового набору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A13EB9E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942F107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8257136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F74EC07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900,00</w:t>
            </w:r>
          </w:p>
        </w:tc>
      </w:tr>
    </w:tbl>
    <w:p w14:paraId="494A9A11" w14:textId="77777777" w:rsidR="00CF5A36" w:rsidRPr="00CF5A36" w:rsidRDefault="00CF5A36" w:rsidP="00CF5A36">
      <w:pPr>
        <w:spacing w:after="0" w:line="240" w:lineRule="auto"/>
        <w:ind w:firstLine="709"/>
        <w:jc w:val="both"/>
        <w:rPr>
          <w:bCs/>
          <w:i/>
        </w:rPr>
      </w:pPr>
    </w:p>
    <w:p w14:paraId="0344B247" w14:textId="114E582B" w:rsidR="00617D23" w:rsidRPr="00CF5A36" w:rsidRDefault="00617D23" w:rsidP="00617D23">
      <w:pPr>
        <w:spacing w:after="0" w:line="240" w:lineRule="auto"/>
        <w:ind w:firstLine="709"/>
        <w:jc w:val="both"/>
        <w:rPr>
          <w:bCs/>
          <w:i/>
        </w:rPr>
      </w:pPr>
      <w:r w:rsidRPr="00CF5A36">
        <w:rPr>
          <w:bCs/>
          <w:i/>
        </w:rPr>
        <w:lastRenderedPageBreak/>
        <w:t xml:space="preserve">- </w:t>
      </w:r>
      <w:r w:rsidRPr="00CF5A36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ЛОТ. 2 Продуктові набори до Дня пам'яті та примирення, Міжнародного дня людей з інвалідністю, Міжнародного Дня громадян похилого віку </w:t>
      </w:r>
      <w:r w:rsidRPr="00CF5A36">
        <w:rPr>
          <w:bCs/>
          <w:i/>
        </w:rPr>
        <w:t xml:space="preserve">- 844,8 тис. грн. (вісімсот сорок чотири тисячі вісімсот гривень).00 коп., у тому числі ПДВ). 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497"/>
        <w:gridCol w:w="3667"/>
        <w:gridCol w:w="1289"/>
        <w:gridCol w:w="1337"/>
        <w:gridCol w:w="1481"/>
        <w:gridCol w:w="1217"/>
      </w:tblGrid>
      <w:tr w:rsidR="00CF5A36" w:rsidRPr="00CF5A36" w14:paraId="17158CAB" w14:textId="77777777" w:rsidTr="000C190C">
        <w:trPr>
          <w:trHeight w:val="915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997B6" w14:textId="77777777" w:rsidR="00CF5A36" w:rsidRPr="00CF5A36" w:rsidRDefault="00CF5A36" w:rsidP="000C190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6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94E0718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Склад одного продуктового набору</w:t>
            </w:r>
          </w:p>
        </w:tc>
        <w:tc>
          <w:tcPr>
            <w:tcW w:w="128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17305B9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Одиниця виміру</w:t>
            </w:r>
          </w:p>
        </w:tc>
        <w:tc>
          <w:tcPr>
            <w:tcW w:w="133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4AF7A86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48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AFC4B3C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Середня ціна по м. Києву</w:t>
            </w:r>
          </w:p>
        </w:tc>
        <w:tc>
          <w:tcPr>
            <w:tcW w:w="12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BDF0D7E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Сума</w:t>
            </w:r>
          </w:p>
        </w:tc>
      </w:tr>
      <w:tr w:rsidR="00CF5A36" w:rsidRPr="00CF5A36" w14:paraId="26FEB844" w14:textId="77777777" w:rsidTr="000C190C">
        <w:trPr>
          <w:trHeight w:val="39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23332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532CC0C" w14:textId="77777777" w:rsidR="00CF5A36" w:rsidRPr="00CF5A36" w:rsidRDefault="00CF5A36" w:rsidP="000C190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Консерва</w:t>
            </w:r>
            <w:proofErr w:type="spellEnd"/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рибна шпроти в олії, 150 гр.</w:t>
            </w:r>
          </w:p>
          <w:p w14:paraId="28CABBC2" w14:textId="77777777" w:rsidR="00CF5A36" w:rsidRPr="00CF5A36" w:rsidRDefault="00CF5A36" w:rsidP="000C190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491BB53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5CC1B51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240ED28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FD70599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50,7</w:t>
            </w:r>
          </w:p>
        </w:tc>
      </w:tr>
      <w:tr w:rsidR="00CF5A36" w:rsidRPr="00CF5A36" w14:paraId="3CE21696" w14:textId="77777777" w:rsidTr="000C190C">
        <w:trPr>
          <w:trHeight w:val="39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FE1F2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1BBC134" w14:textId="77777777" w:rsidR="00CF5A36" w:rsidRPr="00CF5A36" w:rsidRDefault="00CF5A36" w:rsidP="000C190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Кукурудза</w:t>
            </w:r>
            <w:proofErr w:type="spellEnd"/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консервована, 400-420гр.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AEFBBE3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A07BEB1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62B743A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C16AC6F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47,1</w:t>
            </w:r>
          </w:p>
        </w:tc>
      </w:tr>
      <w:tr w:rsidR="00CF5A36" w:rsidRPr="00CF5A36" w14:paraId="68FF7DC9" w14:textId="77777777" w:rsidTr="000C190C">
        <w:trPr>
          <w:trHeight w:val="39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94080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47C3754" w14:textId="77777777" w:rsidR="00CF5A36" w:rsidRPr="00CF5A36" w:rsidRDefault="00CF5A36" w:rsidP="000C190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Зефір, 240-350гр.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C6380A3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04AAF00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C287F45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8A765F7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40,7</w:t>
            </w:r>
          </w:p>
        </w:tc>
      </w:tr>
      <w:tr w:rsidR="00CF5A36" w:rsidRPr="00CF5A36" w14:paraId="54A116E7" w14:textId="77777777" w:rsidTr="000C190C">
        <w:trPr>
          <w:trHeight w:val="39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965AE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E0EA000" w14:textId="77777777" w:rsidR="00CF5A36" w:rsidRPr="00CF5A36" w:rsidRDefault="00CF5A36" w:rsidP="000C190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Олія соняшникова рафінована фасована, 0,85-1 л.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21CE709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9D7FF3D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E679F20" w14:textId="77777777" w:rsidR="00CF5A36" w:rsidRPr="00CF5A36" w:rsidRDefault="00CF5A36" w:rsidP="000C190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    71,08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85088E8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142,16</w:t>
            </w:r>
          </w:p>
        </w:tc>
      </w:tr>
      <w:tr w:rsidR="00CF5A36" w:rsidRPr="00CF5A36" w14:paraId="30408DBA" w14:textId="77777777" w:rsidTr="000C190C">
        <w:trPr>
          <w:trHeight w:val="513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887F7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384E5B9" w14:textId="77777777" w:rsidR="00CF5A36" w:rsidRPr="00CF5A36" w:rsidRDefault="00CF5A36" w:rsidP="000C190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Цукор білий, 1 кг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C6DBFA0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95D39AA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879EEBF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38,22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8C8F3DF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76,44</w:t>
            </w:r>
          </w:p>
        </w:tc>
      </w:tr>
      <w:tr w:rsidR="00CF5A36" w:rsidRPr="00CF5A36" w14:paraId="65EEAF3C" w14:textId="77777777" w:rsidTr="000C190C">
        <w:trPr>
          <w:trHeight w:val="39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9D8A3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E48A44E" w14:textId="77777777" w:rsidR="00CF5A36" w:rsidRPr="00CF5A36" w:rsidRDefault="00CF5A36" w:rsidP="000C190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Чай цейлонський </w:t>
            </w:r>
            <w:proofErr w:type="spellStart"/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крупнолистовий</w:t>
            </w:r>
            <w:proofErr w:type="spellEnd"/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100гр. у м’якій упаковці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3D41BEE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B4039E5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9FA0E7C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90A9479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54,5</w:t>
            </w:r>
          </w:p>
        </w:tc>
      </w:tr>
      <w:tr w:rsidR="00CF5A36" w:rsidRPr="00CF5A36" w14:paraId="292D9523" w14:textId="77777777" w:rsidTr="000C190C">
        <w:trPr>
          <w:trHeight w:val="39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5835E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44D5637" w14:textId="77777777" w:rsidR="00CF5A36" w:rsidRPr="00CF5A36" w:rsidRDefault="00CF5A36" w:rsidP="000C190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Паштет з м’яса індички, 240 гр.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5F11DC6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E100BB3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89D928B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00BA109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91,0</w:t>
            </w:r>
          </w:p>
        </w:tc>
      </w:tr>
      <w:tr w:rsidR="00CF5A36" w:rsidRPr="00CF5A36" w14:paraId="1803D299" w14:textId="77777777" w:rsidTr="000C190C">
        <w:trPr>
          <w:trHeight w:val="39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F2266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43979638" w14:textId="77777777" w:rsidR="00CF5A36" w:rsidRPr="00CF5A36" w:rsidRDefault="00CF5A36" w:rsidP="000C190C">
            <w:pPr>
              <w:pStyle w:val="Standard"/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val="uk-UA" w:eastAsia="ru-RU" w:bidi="ar-SA"/>
              </w:rPr>
            </w:pPr>
            <w:proofErr w:type="spellStart"/>
            <w:r w:rsidRPr="00CF5A36"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val="uk-UA" w:eastAsia="ru-RU" w:bidi="ar-SA"/>
              </w:rPr>
              <w:t>Згущене</w:t>
            </w:r>
            <w:proofErr w:type="spellEnd"/>
            <w:r w:rsidRPr="00CF5A36"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val="uk-UA" w:eastAsia="ru-RU" w:bidi="ar-SA"/>
              </w:rPr>
              <w:t xml:space="preserve"> молоко </w:t>
            </w:r>
            <w:proofErr w:type="spellStart"/>
            <w:r w:rsidRPr="00CF5A36"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val="uk-UA" w:eastAsia="ru-RU" w:bidi="ar-SA"/>
              </w:rPr>
              <w:t>незбиране</w:t>
            </w:r>
            <w:proofErr w:type="spellEnd"/>
            <w:r w:rsidRPr="00CF5A36"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val="uk-UA" w:eastAsia="ru-RU" w:bidi="ar-SA"/>
              </w:rPr>
              <w:t xml:space="preserve"> з </w:t>
            </w:r>
            <w:proofErr w:type="spellStart"/>
            <w:r w:rsidRPr="00CF5A36"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val="uk-UA" w:eastAsia="ru-RU" w:bidi="ar-SA"/>
              </w:rPr>
              <w:t>цукром</w:t>
            </w:r>
            <w:proofErr w:type="spellEnd"/>
            <w:r w:rsidRPr="00CF5A36"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val="uk-UA" w:eastAsia="ru-RU" w:bidi="ar-SA"/>
              </w:rPr>
              <w:t xml:space="preserve"> 8,5 % </w:t>
            </w:r>
            <w:proofErr w:type="spellStart"/>
            <w:r w:rsidRPr="00CF5A36"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val="uk-UA" w:eastAsia="ru-RU" w:bidi="ar-SA"/>
              </w:rPr>
              <w:t>жирності</w:t>
            </w:r>
            <w:proofErr w:type="spellEnd"/>
            <w:r w:rsidRPr="00CF5A36"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val="uk-UA" w:eastAsia="ru-RU" w:bidi="ar-SA"/>
              </w:rPr>
              <w:t>, 370</w:t>
            </w:r>
          </w:p>
          <w:p w14:paraId="296AC327" w14:textId="77777777" w:rsidR="00CF5A36" w:rsidRPr="00CF5A36" w:rsidRDefault="00CF5A36" w:rsidP="000C190C">
            <w:pPr>
              <w:pStyle w:val="Standard"/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val="uk-UA" w:eastAsia="ru-RU" w:bidi="ar-SA"/>
              </w:rPr>
            </w:pPr>
            <w:r w:rsidRPr="00CF5A36"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val="uk-UA" w:eastAsia="ru-RU" w:bidi="ar-SA"/>
              </w:rPr>
              <w:t>гр.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7FCD7CB7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уп</w:t>
            </w:r>
            <w:proofErr w:type="spellEnd"/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936789D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9BDC387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002D720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54,8</w:t>
            </w:r>
          </w:p>
        </w:tc>
      </w:tr>
      <w:tr w:rsidR="00CF5A36" w:rsidRPr="00CF5A36" w14:paraId="39F5278F" w14:textId="77777777" w:rsidTr="000C190C">
        <w:trPr>
          <w:trHeight w:val="39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3079A" w14:textId="77777777" w:rsidR="00CF5A36" w:rsidRPr="00CF5A36" w:rsidRDefault="00CF5A36" w:rsidP="000C190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20379EDA" w14:textId="77777777" w:rsidR="00CF5A36" w:rsidRPr="00CF5A36" w:rsidRDefault="00CF5A36" w:rsidP="000C190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Квасоля</w:t>
            </w:r>
            <w:proofErr w:type="spellEnd"/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консервована</w:t>
            </w:r>
            <w:proofErr w:type="spellEnd"/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400-420гр.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10D5C6FF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уп</w:t>
            </w:r>
            <w:proofErr w:type="spellEnd"/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43FE825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2B9C688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C02293F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42,6</w:t>
            </w:r>
          </w:p>
        </w:tc>
      </w:tr>
      <w:tr w:rsidR="00CF5A36" w:rsidRPr="00CF5A36" w14:paraId="761ADD0B" w14:textId="77777777" w:rsidTr="000C190C">
        <w:trPr>
          <w:trHeight w:val="39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B7258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55E41D5" w14:textId="77777777" w:rsidR="00CF5A36" w:rsidRPr="00CF5A36" w:rsidRDefault="00CF5A36" w:rsidP="000C190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Вартість одного продуктового набору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C105422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9786855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B473F65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7580093" w14:textId="77777777" w:rsidR="00CF5A36" w:rsidRPr="00CF5A36" w:rsidRDefault="00CF5A36" w:rsidP="000C190C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600,00</w:t>
            </w:r>
          </w:p>
        </w:tc>
      </w:tr>
    </w:tbl>
    <w:p w14:paraId="29704667" w14:textId="77777777" w:rsidR="00CF5A36" w:rsidRPr="002373F7" w:rsidRDefault="00CF5A36" w:rsidP="00617D23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/>
          <w:iCs w:val="0"/>
          <w:sz w:val="20"/>
          <w:szCs w:val="20"/>
          <w:lang w:eastAsia="ru-RU"/>
        </w:rPr>
      </w:pPr>
    </w:p>
    <w:p w14:paraId="0FCEF309" w14:textId="2462DB5C" w:rsidR="00617D23" w:rsidRPr="002373F7" w:rsidRDefault="00CF5A36" w:rsidP="00617D23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/>
          <w:iCs w:val="0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</w:rPr>
        <w:t>О</w:t>
      </w:r>
      <w:r w:rsidRPr="00C92CDC">
        <w:rPr>
          <w:rFonts w:ascii="Times New Roman" w:hAnsi="Times New Roman"/>
          <w:b/>
          <w:sz w:val="20"/>
          <w:szCs w:val="20"/>
        </w:rPr>
        <w:t>чікуваної</w:t>
      </w:r>
      <w:r>
        <w:rPr>
          <w:rFonts w:ascii="Times New Roman" w:hAnsi="Times New Roman"/>
          <w:b/>
          <w:sz w:val="20"/>
          <w:szCs w:val="20"/>
        </w:rPr>
        <w:t xml:space="preserve">  вартості закупівлі</w:t>
      </w:r>
      <w:r>
        <w:rPr>
          <w:rFonts w:ascii="Times New Roman" w:hAnsi="Times New Roman"/>
          <w:b/>
          <w:sz w:val="20"/>
          <w:szCs w:val="20"/>
        </w:rPr>
        <w:t xml:space="preserve"> в цілому</w:t>
      </w:r>
      <w:r w:rsidRPr="002373F7">
        <w:rPr>
          <w:rStyle w:val="a4"/>
          <w:rFonts w:ascii="Times New Roman" w:eastAsia="Times New Roman" w:hAnsi="Times New Roman"/>
          <w:iCs w:val="0"/>
          <w:sz w:val="20"/>
          <w:szCs w:val="20"/>
          <w:lang w:eastAsia="ru-RU"/>
        </w:rPr>
        <w:t xml:space="preserve"> </w:t>
      </w:r>
      <w:r w:rsidR="00617D23" w:rsidRPr="00CF5A36">
        <w:rPr>
          <w:rStyle w:val="a4"/>
          <w:rFonts w:ascii="Times New Roman" w:eastAsia="Times New Roman" w:hAnsi="Times New Roman"/>
          <w:b/>
          <w:iCs w:val="0"/>
          <w:sz w:val="20"/>
          <w:szCs w:val="20"/>
          <w:lang w:eastAsia="ru-RU"/>
        </w:rPr>
        <w:t xml:space="preserve">-  </w:t>
      </w:r>
      <w:r w:rsidR="00617D23" w:rsidRPr="00CF5A36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2 234 400,00 грн. з ПДВ</w:t>
      </w:r>
    </w:p>
    <w:p w14:paraId="10CB6243" w14:textId="5A9EC272" w:rsidR="007929EB" w:rsidRPr="00F40617" w:rsidRDefault="007929EB" w:rsidP="00327F00">
      <w:pPr>
        <w:spacing w:after="0" w:line="240" w:lineRule="auto"/>
        <w:jc w:val="both"/>
        <w:rPr>
          <w:rStyle w:val="a4"/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68B23A97" w14:textId="77777777" w:rsidR="00FC3502" w:rsidRPr="007929EB" w:rsidRDefault="00FC3502" w:rsidP="007929EB">
      <w:pPr>
        <w:jc w:val="both"/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</w:pPr>
    </w:p>
    <w:p w14:paraId="07B4BB28" w14:textId="318249D3" w:rsidR="00617D23" w:rsidRDefault="00617D23" w:rsidP="00617D23">
      <w:pPr>
        <w:ind w:firstLine="708"/>
        <w:jc w:val="both"/>
        <w:rPr>
          <w:bCs/>
          <w:iCs/>
        </w:rPr>
      </w:pPr>
      <w:r>
        <w:rPr>
          <w:bCs/>
          <w:iCs/>
        </w:rPr>
        <w:t xml:space="preserve"> </w:t>
      </w:r>
    </w:p>
    <w:p w14:paraId="44EDCAE8" w14:textId="77777777" w:rsidR="00316EC5" w:rsidRPr="007929EB" w:rsidRDefault="00316EC5" w:rsidP="00171A09">
      <w:pPr>
        <w:spacing w:after="0" w:line="240" w:lineRule="auto"/>
        <w:jc w:val="both"/>
        <w:rPr>
          <w:rStyle w:val="a4"/>
          <w:rFonts w:eastAsia="Times New Roman"/>
          <w:bCs/>
          <w:sz w:val="20"/>
          <w:szCs w:val="20"/>
          <w:lang w:eastAsia="ru-RU"/>
        </w:rPr>
      </w:pPr>
    </w:p>
    <w:sectPr w:rsidR="00316EC5" w:rsidRPr="007929EB" w:rsidSect="00797DA0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B91BA" w14:textId="77777777" w:rsidR="00CF1F00" w:rsidRDefault="00CF1F00" w:rsidP="00CF5A36">
      <w:pPr>
        <w:spacing w:after="0" w:line="240" w:lineRule="auto"/>
      </w:pPr>
      <w:r>
        <w:separator/>
      </w:r>
    </w:p>
  </w:endnote>
  <w:endnote w:type="continuationSeparator" w:id="0">
    <w:p w14:paraId="5AD8A300" w14:textId="77777777" w:rsidR="00CF1F00" w:rsidRDefault="00CF1F00" w:rsidP="00CF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247A0" w14:textId="77777777" w:rsidR="00CF1F00" w:rsidRDefault="00CF1F00" w:rsidP="00CF5A36">
      <w:pPr>
        <w:spacing w:after="0" w:line="240" w:lineRule="auto"/>
      </w:pPr>
      <w:r>
        <w:separator/>
      </w:r>
    </w:p>
  </w:footnote>
  <w:footnote w:type="continuationSeparator" w:id="0">
    <w:p w14:paraId="52D07AAF" w14:textId="77777777" w:rsidR="00CF1F00" w:rsidRDefault="00CF1F00" w:rsidP="00CF5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80F93"/>
    <w:multiLevelType w:val="hybridMultilevel"/>
    <w:tmpl w:val="5CA6D9EE"/>
    <w:lvl w:ilvl="0" w:tplc="4DE22C6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92"/>
    <w:rsid w:val="00047BE2"/>
    <w:rsid w:val="00057B35"/>
    <w:rsid w:val="0009202D"/>
    <w:rsid w:val="00096169"/>
    <w:rsid w:val="000E2455"/>
    <w:rsid w:val="0015153B"/>
    <w:rsid w:val="00171A09"/>
    <w:rsid w:val="001863D2"/>
    <w:rsid w:val="001977B4"/>
    <w:rsid w:val="001D25F3"/>
    <w:rsid w:val="002373F7"/>
    <w:rsid w:val="002820B3"/>
    <w:rsid w:val="00312C2D"/>
    <w:rsid w:val="003130BE"/>
    <w:rsid w:val="00316EC5"/>
    <w:rsid w:val="003240E9"/>
    <w:rsid w:val="00327F00"/>
    <w:rsid w:val="00395942"/>
    <w:rsid w:val="00415433"/>
    <w:rsid w:val="00435733"/>
    <w:rsid w:val="0044277B"/>
    <w:rsid w:val="00473B3D"/>
    <w:rsid w:val="004F6428"/>
    <w:rsid w:val="00542949"/>
    <w:rsid w:val="005A4077"/>
    <w:rsid w:val="005E4F8F"/>
    <w:rsid w:val="00617D23"/>
    <w:rsid w:val="0068547C"/>
    <w:rsid w:val="007451BA"/>
    <w:rsid w:val="007929EB"/>
    <w:rsid w:val="007955D7"/>
    <w:rsid w:val="007972CF"/>
    <w:rsid w:val="00797DA0"/>
    <w:rsid w:val="008961BB"/>
    <w:rsid w:val="008C7A78"/>
    <w:rsid w:val="008D7092"/>
    <w:rsid w:val="008E7E60"/>
    <w:rsid w:val="009A75EC"/>
    <w:rsid w:val="00AB0674"/>
    <w:rsid w:val="00AF5CF7"/>
    <w:rsid w:val="00AF7237"/>
    <w:rsid w:val="00B1177C"/>
    <w:rsid w:val="00B843F0"/>
    <w:rsid w:val="00BB5097"/>
    <w:rsid w:val="00C1735B"/>
    <w:rsid w:val="00C5739A"/>
    <w:rsid w:val="00C92CDC"/>
    <w:rsid w:val="00C96492"/>
    <w:rsid w:val="00CB02B2"/>
    <w:rsid w:val="00CF1F00"/>
    <w:rsid w:val="00CF5A36"/>
    <w:rsid w:val="00D23062"/>
    <w:rsid w:val="00D93736"/>
    <w:rsid w:val="00DA5DB5"/>
    <w:rsid w:val="00DE33BC"/>
    <w:rsid w:val="00E1288A"/>
    <w:rsid w:val="00E52146"/>
    <w:rsid w:val="00ED2247"/>
    <w:rsid w:val="00F1525D"/>
    <w:rsid w:val="00F40617"/>
    <w:rsid w:val="00F97260"/>
    <w:rsid w:val="00FC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B39AB-FE01-41D7-A268-F365848A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E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4F8F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FollowedHyperlink"/>
    <w:basedOn w:val="a0"/>
    <w:uiPriority w:val="99"/>
    <w:semiHidden/>
    <w:unhideWhenUsed/>
    <w:rsid w:val="00CB02B2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6854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1"/>
    <w:qFormat/>
    <w:rsid w:val="00C1735B"/>
    <w:pPr>
      <w:widowControl w:val="0"/>
      <w:autoSpaceDE w:val="0"/>
      <w:autoSpaceDN w:val="0"/>
      <w:spacing w:after="0" w:line="240" w:lineRule="auto"/>
      <w:ind w:left="202" w:firstLine="851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1"/>
    <w:rsid w:val="00C1735B"/>
    <w:rPr>
      <w:rFonts w:ascii="Times New Roman" w:eastAsia="Times New Roman" w:hAnsi="Times New Roman" w:cs="Times New Roman"/>
      <w:sz w:val="26"/>
      <w:szCs w:val="26"/>
      <w:lang w:val="uk-UA"/>
    </w:rPr>
  </w:style>
  <w:style w:type="paragraph" w:styleId="ab">
    <w:name w:val="caption"/>
    <w:basedOn w:val="a"/>
    <w:next w:val="a"/>
    <w:qFormat/>
    <w:rsid w:val="00C1735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val="ru-RU" w:eastAsia="ru-RU"/>
    </w:rPr>
  </w:style>
  <w:style w:type="character" w:styleId="ac">
    <w:name w:val="Strong"/>
    <w:uiPriority w:val="22"/>
    <w:qFormat/>
    <w:rsid w:val="00617D23"/>
    <w:rPr>
      <w:b/>
      <w:bCs/>
    </w:rPr>
  </w:style>
  <w:style w:type="paragraph" w:styleId="ad">
    <w:name w:val="header"/>
    <w:basedOn w:val="a"/>
    <w:link w:val="ae"/>
    <w:uiPriority w:val="99"/>
    <w:unhideWhenUsed/>
    <w:rsid w:val="00CF5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F5A36"/>
    <w:rPr>
      <w:rFonts w:ascii="Calibri" w:eastAsia="Calibri" w:hAnsi="Calibri" w:cs="Times New Roman"/>
      <w:lang w:val="uk-UA"/>
    </w:rPr>
  </w:style>
  <w:style w:type="paragraph" w:styleId="af">
    <w:name w:val="footer"/>
    <w:basedOn w:val="a"/>
    <w:link w:val="af0"/>
    <w:uiPriority w:val="99"/>
    <w:unhideWhenUsed/>
    <w:rsid w:val="00CF5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F5A36"/>
    <w:rPr>
      <w:rFonts w:ascii="Calibri" w:eastAsia="Calibri" w:hAnsi="Calibri" w:cs="Times New Roman"/>
      <w:lang w:val="uk-UA"/>
    </w:rPr>
  </w:style>
  <w:style w:type="paragraph" w:customStyle="1" w:styleId="Standard">
    <w:name w:val="Standard"/>
    <w:rsid w:val="00CF5A3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7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2289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3-01-26-008173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Lucky</cp:lastModifiedBy>
  <cp:revision>27</cp:revision>
  <cp:lastPrinted>2023-04-13T13:23:00Z</cp:lastPrinted>
  <dcterms:created xsi:type="dcterms:W3CDTF">2023-01-25T10:39:00Z</dcterms:created>
  <dcterms:modified xsi:type="dcterms:W3CDTF">2023-04-13T13:31:00Z</dcterms:modified>
</cp:coreProperties>
</file>