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shd w:fill="auto" w:val="clear"/>
        <w:spacing w:after="1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від 21.04.2021</w:t>
      </w:r>
    </w:p>
    <w:tbl>
      <w:tblPr>
        <w:tblStyle w:val="Table1"/>
        <w:tblW w:w="15699.0" w:type="dxa"/>
        <w:jc w:val="left"/>
        <w:tblInd w:w="0.0" w:type="dxa"/>
        <w:tblLayout w:type="fixed"/>
        <w:tblLook w:val="0000"/>
      </w:tblPr>
      <w:tblGrid>
        <w:gridCol w:w="1744"/>
        <w:gridCol w:w="1742"/>
        <w:gridCol w:w="1745"/>
        <w:gridCol w:w="1746"/>
        <w:gridCol w:w="2091"/>
        <w:gridCol w:w="6631"/>
        <w:tblGridChange w:id="0">
          <w:tblGrid>
            <w:gridCol w:w="1744"/>
            <w:gridCol w:w="1742"/>
            <w:gridCol w:w="1745"/>
            <w:gridCol w:w="1746"/>
            <w:gridCol w:w="2091"/>
            <w:gridCol w:w="6631"/>
          </w:tblGrid>
        </w:tblGridChange>
      </w:tblGrid>
      <w:tr>
        <w:trPr>
          <w:trHeight w:val="13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shd w:fill="auto" w:val="clear"/>
              <w:tabs>
                <w:tab w:val="left" w:pos="851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Ідентифікатор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shd w:fill="auto" w:val="clear"/>
              <w:tabs>
                <w:tab w:val="left" w:pos="851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 предмета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shd w:fill="auto" w:val="clear"/>
              <w:tabs>
                <w:tab w:val="left" w:pos="851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закупівлі, грн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Обґрунтування розміру бюджетного призначення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Обґрунтування очікуваної вартості предмета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Обґрунтування технічних та якісних характеристик предмета закупівлі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UA-2021-05-21-008033-b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Оздоровлення у супроводі одного з батьків або іншого законного представника: дітей киян - учасників антитерористичної операції (у т. ч. киян - учасників антитерористичної операції, які перебувають у полоні або зникли безвісти) віком до 14 років; дітей киян - військовослужбовців військових частин NN 2260, 2269, 3027, 3030, 3066, 3078, 1465, 1498, 2428, А0222, А0525, А1799, А1937, А2299, А4193, які дислокуються на території міста Києва, віком до 14 років; дітей учасників антитерористичної операції, загиблих (померлих) внаслідок поранення, контузії чи каліцтва, одержаних під час участі у антитерористичній операції, віком до 18 років; дітей киян - постраждалих учасників Революції Гідності віком до 14 років; дітей киян - Героїв Небесної Сотні віком до 18 років, код ДК021:2015 85110000-3 “Послуги лікувальних закладів та супутні послуги”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3 549 223,44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бюджетного призначення визначений за результатами пошуку, збору та аналізу загальнодоступної інформації про ціну, що міститься в мережі Інтернет у відкритому доступі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визначена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межах затверджених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обсягів фінансування заходу Міської цільової програми "Турбота. Назустріч киянам" на 2019 - 2021 роки", 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рахуванням інформації, отриманої за результатами пошуку, збору та аналізу загальнодоступної інформації про ціну, у т.ч. що міститься в мережі Інтернет у відкритому доступі, та з урахуванням  результа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проведеної закупівлі (UA-2021-03-15-003228-c)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Технічні та якісні характеристики предмета закупівлі визначено з урахуванням загальноприйнятих норм для зазначеного предмета закупівлі, попереднього досвіду забезпечення послугами оздоровлення дітей у супроводі дорослих, вимог щодо послуг проживання, харчування, визначених  наказом Мінсоцполітики від 24.05.2017 №868 “Про затвердження переліку базових послуг, які входять до вартості путівки” та побажань отримувачів послуг.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UA-2021-05-21-008408-b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Оздоровлення ветеранів війни та праці, членів сімей загиблих (померлих) ветеранів війни, яким виповнилося 18 років, постраждалих учасників Революції Гідності, осіб з інвалідністю, дітей війни, громадян, які постраждали внаслідок Чорнобильської катастрофи, м. Києва, код ДК021:2015 85110000-3 “Послуги лікувальних закладів та супутні послуги”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9 764 800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бюджетного призначення визначений за результатами пошуку, збору та аналізу загальнодоступної інформації про ціну, що міститься в мережі Інтернет у відкритому доступі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Очікувана вартість визначена в межах затверджених обсягів фінансування заходу Міської цільової програми "Турбота. Назустріч киянам" на 2019 - 2021 роки", з урахуванням інформації, отриманої за результатами пошуку, збору та аналізу загальнодоступної інформації про ціну, у т.ч. що міститься в мережі Інтернет у відкритому доступі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Технічні та якісні характеристики предмета закупівлі визначено з урахуванням загальноприйнятих норм для зазначеного предмета закупівлі, попереднього досвіду забезпечення послугами санаторно-курортного оздоровлення, з урахуванням положень наказу Мінсоцполітики від 24.05.2017 №868 “Про затвердження переліку базових послуг, які входять до вартості путівки”.</w:t>
            </w:r>
          </w:p>
        </w:tc>
      </w:tr>
    </w:tbl>
    <w:p w:rsidR="00000000" w:rsidDel="00000000" w:rsidP="00000000" w:rsidRDefault="00000000" w:rsidRPr="00000000" w14:paraId="00000014">
      <w:pPr>
        <w:widowControl w:val="1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color w:val="30303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uk-UA"/>
    </w:rPr>
  </w:style>
  <w:style w:type="paragraph" w:styleId="1">
    <w:name w:val="Heading 1"/>
    <w:basedOn w:val="LOnormal"/>
    <w:next w:val="LOnormal"/>
    <w:qFormat w:val="1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2">
    <w:name w:val="Heading 2"/>
    <w:basedOn w:val="LOnormal"/>
    <w:next w:val="LOnormal"/>
    <w:qFormat w:val="1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3">
    <w:name w:val="Heading 3"/>
    <w:basedOn w:val="LOnormal"/>
    <w:next w:val="LOnormal"/>
    <w:qFormat w:val="1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4">
    <w:name w:val="Heading 4"/>
    <w:basedOn w:val="LOnormal"/>
    <w:next w:val="LOnormal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5">
    <w:name w:val="Heading 5"/>
    <w:basedOn w:val="LOnormal"/>
    <w:next w:val="LOnormal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6">
    <w:name w:val="Heading 6"/>
    <w:basedOn w:val="LOnormal"/>
    <w:next w:val="LOnormal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Style8">
    <w:name w:val="Заголовок"/>
    <w:basedOn w:val="LOnormal1"/>
    <w:next w:val="Style9"/>
    <w:qFormat w:val="1"/>
    <w:pPr>
      <w:keepNext w:val="1"/>
      <w:spacing w:after="120" w:before="240"/>
    </w:pPr>
    <w:rPr>
      <w:rFonts w:ascii="Times New Roman" w:cs="Arial" w:eastAsia="Tahoma" w:hAnsi="Times New Roman"/>
      <w:sz w:val="24"/>
      <w:szCs w:val="28"/>
    </w:rPr>
  </w:style>
  <w:style w:type="paragraph" w:styleId="Style9">
    <w:name w:val="Body Text"/>
    <w:basedOn w:val="LOnormal1"/>
    <w:pPr>
      <w:spacing w:after="140" w:before="0" w:line="276" w:lineRule="auto"/>
    </w:pPr>
    <w:rPr/>
  </w:style>
  <w:style w:type="paragraph" w:styleId="Style10">
    <w:name w:val="List"/>
    <w:basedOn w:val="Style9"/>
    <w:pPr/>
    <w:rPr>
      <w:rFonts w:ascii="Times New Roman" w:cs="Arial" w:hAnsi="Times New Roman"/>
    </w:rPr>
  </w:style>
  <w:style w:type="paragraph" w:styleId="Style11">
    <w:name w:val="Caption"/>
    <w:basedOn w:val="LOnormal1"/>
    <w:qFormat w:val="1"/>
    <w:pPr>
      <w:suppressLineNumbers w:val="1"/>
      <w:spacing w:after="120" w:before="120"/>
    </w:pPr>
    <w:rPr>
      <w:rFonts w:ascii="Times New Roman" w:cs="Arial" w:hAnsi="Times New Roman"/>
      <w:i w:val="1"/>
      <w:iCs w:val="1"/>
      <w:sz w:val="24"/>
      <w:szCs w:val="24"/>
    </w:rPr>
  </w:style>
  <w:style w:type="paragraph" w:styleId="Style12">
    <w:name w:val="Указатель"/>
    <w:basedOn w:val="LOnormal1"/>
    <w:qFormat w:val="1"/>
    <w:pPr>
      <w:suppressLineNumbers w:val="1"/>
    </w:pPr>
    <w:rPr>
      <w:rFonts w:ascii="Times New Roman" w:cs="Arial" w:hAnsi="Times New Roman"/>
    </w:rPr>
  </w:style>
  <w:style w:type="paragraph" w:styleId="LOnormal7" w:default="1">
    <w:name w:val="LO-normal7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uk-UA"/>
    </w:rPr>
  </w:style>
  <w:style w:type="paragraph" w:styleId="Style13">
    <w:name w:val="Title"/>
    <w:basedOn w:val="LOnormal"/>
    <w:next w:val="LOnormal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LOnormal5" w:default="1">
    <w:name w:val="LO-normal5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uk-UA"/>
    </w:rPr>
  </w:style>
  <w:style w:type="paragraph" w:styleId="LOnormal3" w:default="1">
    <w:name w:val="LO-normal3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uk-UA"/>
    </w:rPr>
  </w:style>
  <w:style w:type="paragraph" w:styleId="LOnormal1" w:default="1">
    <w:name w:val="LO-normal1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uk-UA"/>
    </w:rPr>
  </w:style>
  <w:style w:type="paragraph" w:styleId="LOnormal" w:default="1">
    <w:name w:val="LO-normal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uk-UA"/>
    </w:rPr>
  </w:style>
  <w:style w:type="paragraph" w:styleId="Style14">
    <w:name w:val="Subtitle"/>
    <w:basedOn w:val="LOnormal7"/>
    <w:next w:val="LOnormal7"/>
    <w:qFormat w:val="1"/>
    <w:pPr>
      <w:keepNext w:val="1"/>
      <w:keepLines w:val="1"/>
      <w:widowControl w:val="0"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paragraph" w:styleId="Style15">
    <w:name w:val="Содержимое таблицы"/>
    <w:basedOn w:val="LOnormal1"/>
    <w:qFormat w:val="1"/>
    <w:pPr>
      <w:widowControl w:val="0"/>
      <w:suppressLineNumbers w:val="1"/>
    </w:pPr>
    <w:rPr/>
  </w:style>
  <w:style w:type="paragraph" w:styleId="Style16">
    <w:name w:val="Заголовок таблицы"/>
    <w:basedOn w:val="Style15"/>
    <w:qFormat w:val="1"/>
    <w:pPr>
      <w:suppressLineNumbers w:val="1"/>
      <w:jc w:val="center"/>
    </w:pPr>
    <w:rPr>
      <w:b w:val="1"/>
      <w:bCs w:val="1"/>
    </w:rPr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an6KgNF0lekD0Ihs+rXzAa+u5w==">AMUW2mXbKsQFovpRfa33K3AjbsOhQmnw6BNS0BvUHCSeDZMT7uzfvzdskH00JydHXc/EKPDTd2n7SoiMc00sPI55dminDe8RQHxaD38zeFXsfz64xoitxTw=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2021-04-23T10:41:49Z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