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8E" w:rsidRPr="00E17968" w:rsidRDefault="00F65D8E" w:rsidP="00F65D8E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Акта</w:t>
      </w:r>
      <w:proofErr w:type="spellEnd"/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складеного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планового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(позапланового)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заходу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(контролю)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суб’єктом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вимог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освітньої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діяльності,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ліцензуванню</w:t>
      </w:r>
    </w:p>
    <w:p w:rsidR="00F65D8E" w:rsidRPr="00E17968" w:rsidRDefault="00F65D8E" w:rsidP="00F65D8E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ПЕРЕЛІК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заходу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нагляду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(контролю)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провадження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освітньої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сфері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позашкільної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освіти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"/>
        <w:gridCol w:w="2693"/>
        <w:gridCol w:w="1051"/>
        <w:gridCol w:w="1903"/>
        <w:gridCol w:w="468"/>
        <w:gridCol w:w="328"/>
        <w:gridCol w:w="906"/>
        <w:gridCol w:w="1712"/>
      </w:tblGrid>
      <w:tr w:rsidR="00F65D8E" w:rsidRPr="00E17968" w:rsidTr="000430E2">
        <w:trPr>
          <w:trHeight w:val="340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5D8E" w:rsidRPr="00E17968" w:rsidRDefault="00F65D8E" w:rsidP="000430E2">
            <w:pPr>
              <w:spacing w:after="57" w:line="140" w:lineRule="atLeast"/>
              <w:jc w:val="right"/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додатка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Ступінь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рювання</w:t>
            </w:r>
            <w:proofErr w:type="spellEnd"/>
          </w:p>
        </w:tc>
        <w:tc>
          <w:tcPr>
            <w:tcW w:w="9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впливу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балів)**</w:t>
            </w:r>
          </w:p>
        </w:tc>
        <w:tc>
          <w:tcPr>
            <w:tcW w:w="8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Нормативне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обґрунтування</w:t>
            </w:r>
          </w:p>
        </w:tc>
      </w:tr>
      <w:tr w:rsidR="00F65D8E" w:rsidRPr="00E17968" w:rsidTr="000430E2">
        <w:trPr>
          <w:trHeight w:val="566"/>
        </w:trPr>
        <w:tc>
          <w:tcPr>
            <w:tcW w:w="3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5D8E" w:rsidRPr="00E17968" w:rsidRDefault="00F65D8E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алося</w:t>
            </w:r>
            <w:proofErr w:type="spellEnd"/>
          </w:p>
        </w:tc>
        <w:tc>
          <w:tcPr>
            <w:tcW w:w="8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65D8E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Загальні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Основним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Організаційні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копії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достовірність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оплати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видачу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ліцензії.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четвертий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виключно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проживання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дитини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замовником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отримання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короткострокових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освітніх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(семінару,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лекції,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тренінгу,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вебінару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тощо).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восьма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повідомлення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заяви,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(нового)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заяву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внесення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зв’язку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копії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оформлених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власності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користування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майном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безперешкодного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присутність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уповноваженої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перевірки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дотримання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розробив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місяця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подав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порядок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дій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разі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позапланового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загалом,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певними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місцями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зв’язку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неможливістю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використання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матеріально-технічної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бази,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виникненням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форс-мажорних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обставин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тощо)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порядок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відновлення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такої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діяльності.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певними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започаткування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кожному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договорами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(угодами).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наявність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договорів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(контрактів)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письмовій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формі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усіма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працівниками.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зокрема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безперешкодний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будівлі,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класів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(груп)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інфраструктури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норм,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правил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стандартів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існуюча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об’ємно</w:t>
            </w:r>
            <w:proofErr w:type="spellEnd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-планувальна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схема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розрахована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інклюзивності</w:t>
            </w:r>
            <w:proofErr w:type="spellEnd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повинно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документально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підтверджено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фахівцем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технічного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обстеження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споруд,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кваліфікаційний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сертифікат,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установою,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уповноваженою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обстежень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(вимоги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споруд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згідно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нормами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стосуються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населення).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обслуговування,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бухгалтерського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обліку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діловодства,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додаткові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передбачені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законодавством,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здійснюватися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шляхом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договірних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суб’єктів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господарювання,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надавати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послуги.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підприємців,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використовують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найманої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своїх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вебсайтах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відсутності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вебсайтах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своїх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засновників)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відкритий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передбачених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освіту».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актуальність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кадрове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Єдиній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електронній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кадровому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вносяться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актуальність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Єдиній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електронній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вносяться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Спеціальні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релігійних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участь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освіту»).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політичних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участь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освіту»).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перебуває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прямо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опосередковано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контролем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значенні,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наведеному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захист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конкуренції»)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резидентів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здійснюють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збройну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агресію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значенні,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наведеному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оборону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України»)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створюють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виникнення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воєнного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конфлікту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воєнної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сили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інтересах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5D8E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4.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Кадрові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працівниками,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особами,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необхідними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затверджених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освітніх,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програм.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73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державного,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комунального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(філії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державного,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комунального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освіти)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відповідає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вимогам,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громадянином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науково-педагогічної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менше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трьох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років;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четвертий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організаторські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здібності,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здоров’я,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перешкоджає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записом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особистій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книжці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встановленого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зразка.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приватного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(філії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приватного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структурного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підрозділу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юридичної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підприємець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найнята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виконуватиме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здоров’я,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перешкоджає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записом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особистій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книжці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встановленого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зразка.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шостий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провадять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сьомий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25.1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фахову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належний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професійної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підготовки;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восьмий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25.2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здоров’я,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перешкоджає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професійних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записом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особистій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книжці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встановленого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зразка.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дев’ятий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F65D8E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5.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Технологічні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позашкільної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F65D8E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затверджену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(затверджені)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(освітні),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(навчальні)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програму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(програми),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навчально-методичне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інформаційне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затверджених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освітніх,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програм,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життєдіяльності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охорони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F65D8E" w:rsidRPr="00E17968" w:rsidRDefault="00F65D8E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5D8E" w:rsidRPr="00E17968" w:rsidRDefault="00F65D8E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Наказ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1669</w:t>
            </w:r>
          </w:p>
        </w:tc>
      </w:tr>
    </w:tbl>
    <w:p w:rsidR="00F65D8E" w:rsidRPr="00E17968" w:rsidRDefault="00F65D8E" w:rsidP="00F65D8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F65D8E" w:rsidRPr="009B68DF" w:rsidRDefault="00F65D8E" w:rsidP="00F65D8E">
      <w:pPr>
        <w:shd w:val="clear" w:color="auto" w:fill="FFFFFF"/>
        <w:spacing w:before="227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9B68D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Ступені ризику: «Н» - незначний, «С» - середній, «В» - високий.</w:t>
      </w:r>
    </w:p>
    <w:p w:rsidR="00F65D8E" w:rsidRPr="009B68DF" w:rsidRDefault="00F65D8E" w:rsidP="00F65D8E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B68DF">
        <w:rPr>
          <w:rFonts w:ascii="Times New Roman" w:hAnsi="Times New Roman"/>
          <w:color w:val="000000"/>
          <w:sz w:val="20"/>
          <w:szCs w:val="20"/>
          <w:lang w:eastAsia="uk-UA"/>
        </w:rPr>
        <w:t>** Заповнює керівник суб’єкта господарювання або уповноважена ним особа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суб’єкта господарювання, 1 - питання щодо вимоги законодавства, дотримання якої не передбачає такого навантаження на суб’єкта господарювання.</w:t>
      </w:r>
    </w:p>
    <w:p w:rsidR="00F65D8E" w:rsidRPr="00E17968" w:rsidRDefault="00F65D8E" w:rsidP="00F65D8E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eastAsia="uk-UA"/>
        </w:rPr>
        <w:t xml:space="preserve"> </w:t>
      </w:r>
    </w:p>
    <w:p w:rsidR="00C6020D" w:rsidRDefault="00C6020D">
      <w:bookmarkStart w:id="0" w:name="_GoBack"/>
      <w:bookmarkEnd w:id="0"/>
    </w:p>
    <w:sectPr w:rsidR="00C60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121"/>
    <w:multiLevelType w:val="multilevel"/>
    <w:tmpl w:val="C662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F4988"/>
    <w:multiLevelType w:val="multilevel"/>
    <w:tmpl w:val="5F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B78C4"/>
    <w:multiLevelType w:val="multilevel"/>
    <w:tmpl w:val="76F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4D"/>
    <w:rsid w:val="00A3724D"/>
    <w:rsid w:val="00C6020D"/>
    <w:rsid w:val="00F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BB0D-3214-48E3-9955-31EC4CA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8E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9"/>
    <w:qFormat/>
    <w:rsid w:val="00F65D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5D8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Heading2Char">
    <w:name w:val="Heading 2 Char"/>
    <w:basedOn w:val="a0"/>
    <w:uiPriority w:val="99"/>
    <w:semiHidden/>
    <w:locked/>
    <w:rsid w:val="00F65D8E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paragraph" w:customStyle="1" w:styleId="msonormal0">
    <w:name w:val="msonormal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F65D8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65D8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F65D8E"/>
    <w:rPr>
      <w:rFonts w:cs="Times New Roman"/>
    </w:rPr>
  </w:style>
  <w:style w:type="paragraph" w:customStyle="1" w:styleId="ch5b">
    <w:name w:val="ch5b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opych6">
    <w:name w:val="copych6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F65D8E"/>
    <w:rPr>
      <w:rFonts w:cs="Times New Roman"/>
    </w:rPr>
  </w:style>
  <w:style w:type="character" w:styleId="a6">
    <w:name w:val="Emphasis"/>
    <w:basedOn w:val="a0"/>
    <w:uiPriority w:val="99"/>
    <w:qFormat/>
    <w:rsid w:val="00F65D8E"/>
    <w:rPr>
      <w:rFonts w:cs="Times New Roman"/>
      <w:i/>
      <w:iCs/>
    </w:rPr>
  </w:style>
  <w:style w:type="paragraph" w:customStyle="1" w:styleId="afffa">
    <w:name w:val="afffa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0">
    <w:name w:val="affff0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F65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65D8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65D8E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F65D8E"/>
    <w:rPr>
      <w:rFonts w:ascii="Arial" w:hAnsi="Arial" w:cs="Arial"/>
      <w:vanish/>
      <w:sz w:val="16"/>
      <w:szCs w:val="16"/>
      <w:lang w:val="uk-UA"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65D8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F65D8E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F65D8E"/>
    <w:rPr>
      <w:rFonts w:ascii="Arial" w:hAnsi="Arial" w:cs="Arial"/>
      <w:vanish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7762</Words>
  <Characters>4425</Characters>
  <Application>Microsoft Office Word</Application>
  <DocSecurity>0</DocSecurity>
  <Lines>36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Віталія Олександрівна</dc:creator>
  <cp:keywords/>
  <dc:description/>
  <cp:lastModifiedBy>Яковина Віталія Олександрівна</cp:lastModifiedBy>
  <cp:revision>2</cp:revision>
  <dcterms:created xsi:type="dcterms:W3CDTF">2025-05-07T12:50:00Z</dcterms:created>
  <dcterms:modified xsi:type="dcterms:W3CDTF">2025-05-07T12:51:00Z</dcterms:modified>
</cp:coreProperties>
</file>