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1034" w14:textId="77777777" w:rsidR="00507EB2" w:rsidRDefault="00000000">
      <w:pPr>
        <w:spacing w:before="322"/>
        <w:ind w:left="128" w:right="5611"/>
        <w:jc w:val="both"/>
        <w:rPr>
          <w:i/>
          <w:sz w:val="28"/>
        </w:rPr>
      </w:pPr>
      <w:r>
        <w:rPr>
          <w:i/>
          <w:sz w:val="28"/>
        </w:rPr>
        <w:t>Щодо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проведення Дня Героїв Небесної Сотні</w:t>
      </w:r>
    </w:p>
    <w:p w14:paraId="1CCB6BE4" w14:textId="77777777" w:rsidR="00507EB2" w:rsidRDefault="00507EB2">
      <w:pPr>
        <w:pStyle w:val="a3"/>
        <w:spacing w:before="321"/>
        <w:rPr>
          <w:i/>
        </w:rPr>
      </w:pPr>
    </w:p>
    <w:p w14:paraId="42F6CADE" w14:textId="77777777" w:rsidR="00507EB2" w:rsidRDefault="00000000">
      <w:pPr>
        <w:pStyle w:val="a3"/>
        <w:spacing w:before="1"/>
        <w:ind w:left="142" w:right="139" w:firstLine="709"/>
        <w:jc w:val="both"/>
      </w:pPr>
      <w:r>
        <w:t>Український інститут національної пам’яті та Національний музей Революції Гідності, на виконання Указу Президента України від 11 лютого 2015 року № 69 «Про вшанування подвигу учасників Революції Гідності та увічнення пам’яті Героїв Небесної Сотні» та розпорядження Кабінету Міністрів</w:t>
      </w:r>
      <w:r>
        <w:rPr>
          <w:spacing w:val="-8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лютого</w:t>
      </w:r>
      <w:r>
        <w:rPr>
          <w:spacing w:val="-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112-р</w:t>
      </w:r>
      <w:r>
        <w:rPr>
          <w:spacing w:val="-8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затвердження</w:t>
      </w:r>
      <w:r>
        <w:rPr>
          <w:spacing w:val="-7"/>
        </w:rPr>
        <w:t xml:space="preserve"> </w:t>
      </w:r>
      <w:r>
        <w:t>плану заходів із вшанування подвигу учасників Революції Гідності та увічнення пам’яті Героїв Небесної Сотні на 2021-2025 роки», спільно з партнерами підготували програму заходів, інформаційно-методичні матеріали та соціальну кампанію під гаслом «Герої першої перемоги у битві, що триває», приурочену до Дня Героїв Небесної Сотні.</w:t>
      </w:r>
    </w:p>
    <w:p w14:paraId="10D1739A" w14:textId="77777777" w:rsidR="00507EB2" w:rsidRDefault="00000000">
      <w:pPr>
        <w:pStyle w:val="a3"/>
        <w:ind w:left="142" w:right="138" w:firstLine="709"/>
        <w:jc w:val="both"/>
      </w:pPr>
      <w:r>
        <w:t>Програмою передбачено 18–20 лютого в столиці, обласних центрах та інших населених пунктах України меморіальні, інформаційні, просвітницькі акції, покладення квітів до пам’ятників і пам’ятних знаків Героям Небесної Сотні, а на 20 лютого заплановано проведення церемоніалу вшанування пам’яті</w:t>
      </w:r>
      <w:r>
        <w:rPr>
          <w:spacing w:val="-1"/>
        </w:rPr>
        <w:t xml:space="preserve"> </w:t>
      </w:r>
      <w:r>
        <w:t xml:space="preserve">Героїв Небесної Сотні та учасників Революції Гідності, а також </w:t>
      </w:r>
      <w:r>
        <w:rPr>
          <w:spacing w:val="-2"/>
        </w:rPr>
        <w:t>акцію</w:t>
      </w:r>
    </w:p>
    <w:p w14:paraId="4E4CA353" w14:textId="77777777" w:rsidR="00507EB2" w:rsidRDefault="00000000">
      <w:pPr>
        <w:pStyle w:val="a3"/>
        <w:ind w:left="142"/>
        <w:jc w:val="both"/>
      </w:pPr>
      <w:r>
        <w:t>«Ангели</w:t>
      </w:r>
      <w:r>
        <w:rPr>
          <w:spacing w:val="-7"/>
        </w:rPr>
        <w:t xml:space="preserve"> </w:t>
      </w:r>
      <w:r>
        <w:rPr>
          <w:spacing w:val="-2"/>
        </w:rPr>
        <w:t>пам’яті».</w:t>
      </w:r>
    </w:p>
    <w:p w14:paraId="6D2292D2" w14:textId="77777777" w:rsidR="00507EB2" w:rsidRDefault="00000000">
      <w:pPr>
        <w:pStyle w:val="a3"/>
        <w:ind w:left="142" w:right="138" w:firstLine="709"/>
        <w:jc w:val="both"/>
      </w:pPr>
      <w:r>
        <w:t>Враховуючи, що в Україні запроваджено воєнний стан, визначення формату</w:t>
      </w:r>
      <w:r>
        <w:rPr>
          <w:spacing w:val="-4"/>
        </w:rPr>
        <w:t xml:space="preserve"> </w:t>
      </w:r>
      <w:r>
        <w:t>ритуалу</w:t>
      </w:r>
      <w:r>
        <w:rPr>
          <w:spacing w:val="-4"/>
        </w:rPr>
        <w:t xml:space="preserve"> </w:t>
      </w:r>
      <w:r>
        <w:t>покладається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розгляд</w:t>
      </w:r>
      <w:r>
        <w:rPr>
          <w:spacing w:val="-4"/>
        </w:rPr>
        <w:t xml:space="preserve"> </w:t>
      </w:r>
      <w:r>
        <w:t>місцевих</w:t>
      </w:r>
      <w:r>
        <w:rPr>
          <w:spacing w:val="-4"/>
        </w:rPr>
        <w:t xml:space="preserve"> </w:t>
      </w:r>
      <w:r>
        <w:t>органів</w:t>
      </w:r>
      <w:r>
        <w:rPr>
          <w:spacing w:val="-4"/>
        </w:rPr>
        <w:t xml:space="preserve"> </w:t>
      </w:r>
      <w:r>
        <w:t>виконавчої</w:t>
      </w:r>
      <w:r>
        <w:rPr>
          <w:spacing w:val="-4"/>
        </w:rPr>
        <w:t xml:space="preserve"> </w:t>
      </w:r>
      <w:r>
        <w:t>влади. Водночас їх проведення має відбуватися із дотриманням умов безпеки: негайне припинення заходу на час оголошення повітряної тривоги та переміщення</w:t>
      </w:r>
      <w:r>
        <w:rPr>
          <w:spacing w:val="-11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>учасників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найближчі</w:t>
      </w:r>
      <w:r>
        <w:rPr>
          <w:spacing w:val="-11"/>
        </w:rPr>
        <w:t xml:space="preserve"> </w:t>
      </w:r>
      <w:r>
        <w:t>укриття.</w:t>
      </w:r>
      <w:r>
        <w:rPr>
          <w:spacing w:val="-11"/>
        </w:rPr>
        <w:t xml:space="preserve"> </w:t>
      </w:r>
      <w:r>
        <w:t>Після</w:t>
      </w:r>
      <w:r>
        <w:rPr>
          <w:spacing w:val="-11"/>
        </w:rPr>
        <w:t xml:space="preserve"> </w:t>
      </w:r>
      <w:r>
        <w:t>закінчення</w:t>
      </w:r>
      <w:r>
        <w:rPr>
          <w:spacing w:val="-11"/>
        </w:rPr>
        <w:t xml:space="preserve"> </w:t>
      </w:r>
      <w:r>
        <w:t>повітряної тривоги захід може бути продовжений.</w:t>
      </w:r>
    </w:p>
    <w:p w14:paraId="6267832A" w14:textId="77777777" w:rsidR="00507EB2" w:rsidRDefault="00000000">
      <w:pPr>
        <w:pStyle w:val="a3"/>
        <w:ind w:left="142" w:right="139" w:firstLine="709"/>
        <w:jc w:val="both"/>
      </w:pPr>
      <w:r>
        <w:t xml:space="preserve">Із матеріалами до Дня Героїв Небесної Сотні можна ознайомитися за </w:t>
      </w:r>
      <w:r>
        <w:rPr>
          <w:spacing w:val="-2"/>
        </w:rPr>
        <w:t>покликаннями:</w:t>
      </w:r>
    </w:p>
    <w:p w14:paraId="381FCC48" w14:textId="77777777" w:rsidR="00507EB2" w:rsidRDefault="00000000">
      <w:pPr>
        <w:pStyle w:val="a5"/>
        <w:numPr>
          <w:ilvl w:val="0"/>
          <w:numId w:val="1"/>
        </w:numPr>
        <w:tabs>
          <w:tab w:val="left" w:pos="1210"/>
        </w:tabs>
        <w:ind w:left="1210" w:hanging="359"/>
        <w:rPr>
          <w:sz w:val="28"/>
        </w:rPr>
      </w:pPr>
      <w:r>
        <w:rPr>
          <w:sz w:val="28"/>
        </w:rPr>
        <w:t>програма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https://surl.li/ynoinf</w:t>
        </w:r>
      </w:hyperlink>
      <w:r>
        <w:rPr>
          <w:spacing w:val="-2"/>
          <w:sz w:val="28"/>
        </w:rPr>
        <w:t>;</w:t>
      </w:r>
    </w:p>
    <w:p w14:paraId="36ECC0D2" w14:textId="77777777" w:rsidR="00507EB2" w:rsidRDefault="00000000">
      <w:pPr>
        <w:pStyle w:val="a5"/>
        <w:numPr>
          <w:ilvl w:val="0"/>
          <w:numId w:val="1"/>
        </w:numPr>
        <w:tabs>
          <w:tab w:val="left" w:pos="1210"/>
        </w:tabs>
        <w:ind w:left="1210" w:hanging="359"/>
        <w:rPr>
          <w:sz w:val="28"/>
        </w:rPr>
      </w:pPr>
      <w:r>
        <w:rPr>
          <w:sz w:val="28"/>
        </w:rPr>
        <w:t>інформаційно-методичні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hyperlink r:id="rId8">
        <w:r>
          <w:rPr>
            <w:color w:val="0000FF"/>
            <w:spacing w:val="-2"/>
            <w:sz w:val="28"/>
            <w:u w:val="single" w:color="0000FF"/>
          </w:rPr>
          <w:t>https://surl.li/cegats</w:t>
        </w:r>
      </w:hyperlink>
      <w:r>
        <w:rPr>
          <w:spacing w:val="-2"/>
          <w:sz w:val="28"/>
        </w:rPr>
        <w:t>;</w:t>
      </w:r>
    </w:p>
    <w:p w14:paraId="32024AD0" w14:textId="77777777" w:rsidR="00507EB2" w:rsidRPr="00407B6B" w:rsidRDefault="00000000" w:rsidP="00407B6B">
      <w:pPr>
        <w:pStyle w:val="a5"/>
        <w:numPr>
          <w:ilvl w:val="0"/>
          <w:numId w:val="1"/>
        </w:numPr>
        <w:tabs>
          <w:tab w:val="left" w:pos="1210"/>
        </w:tabs>
        <w:ind w:left="1210" w:hanging="359"/>
        <w:rPr>
          <w:sz w:val="28"/>
        </w:rPr>
      </w:pPr>
      <w:r>
        <w:rPr>
          <w:sz w:val="28"/>
        </w:rPr>
        <w:t>макети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мережах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hyperlink r:id="rId9">
        <w:r>
          <w:rPr>
            <w:color w:val="0000FF"/>
            <w:spacing w:val="-2"/>
            <w:sz w:val="28"/>
            <w:u w:val="single" w:color="0000FF"/>
          </w:rPr>
          <w:t>https://surl.li/cvackk</w:t>
        </w:r>
      </w:hyperlink>
      <w:r>
        <w:rPr>
          <w:spacing w:val="-2"/>
          <w:sz w:val="28"/>
        </w:rPr>
        <w:t>;</w:t>
      </w:r>
    </w:p>
    <w:p w14:paraId="3640A5D0" w14:textId="77777777" w:rsidR="00507EB2" w:rsidRDefault="00000000">
      <w:pPr>
        <w:pStyle w:val="a5"/>
        <w:numPr>
          <w:ilvl w:val="0"/>
          <w:numId w:val="1"/>
        </w:numPr>
        <w:tabs>
          <w:tab w:val="left" w:pos="1211"/>
        </w:tabs>
        <w:spacing w:before="71"/>
        <w:ind w:right="140"/>
        <w:jc w:val="left"/>
        <w:rPr>
          <w:sz w:val="28"/>
        </w:rPr>
      </w:pPr>
      <w:r>
        <w:rPr>
          <w:sz w:val="28"/>
        </w:rPr>
        <w:t>хештеги</w:t>
      </w:r>
      <w:r>
        <w:rPr>
          <w:spacing w:val="-9"/>
          <w:sz w:val="28"/>
        </w:rPr>
        <w:t xml:space="preserve"> </w:t>
      </w:r>
      <w:r>
        <w:rPr>
          <w:sz w:val="28"/>
        </w:rPr>
        <w:t>#ЦеПроСвободу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#Бути_гідним,</w:t>
      </w:r>
      <w:r>
        <w:rPr>
          <w:spacing w:val="-9"/>
          <w:sz w:val="28"/>
        </w:rPr>
        <w:t xml:space="preserve"> </w:t>
      </w: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є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9"/>
          <w:sz w:val="28"/>
        </w:rPr>
        <w:t xml:space="preserve"> </w:t>
      </w:r>
      <w:r>
        <w:rPr>
          <w:sz w:val="28"/>
        </w:rPr>
        <w:t>соціальної кампанії музею у соцмережах (</w:t>
      </w:r>
      <w:proofErr w:type="spellStart"/>
      <w:r>
        <w:rPr>
          <w:sz w:val="28"/>
        </w:rPr>
        <w:t>Facebook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Instagram</w:t>
      </w:r>
      <w:proofErr w:type="spellEnd"/>
      <w:r>
        <w:rPr>
          <w:sz w:val="28"/>
        </w:rPr>
        <w:t>);</w:t>
      </w:r>
    </w:p>
    <w:p w14:paraId="6925E7F0" w14:textId="77777777" w:rsidR="00507EB2" w:rsidRDefault="00000000">
      <w:pPr>
        <w:pStyle w:val="a5"/>
        <w:numPr>
          <w:ilvl w:val="0"/>
          <w:numId w:val="1"/>
        </w:numPr>
        <w:tabs>
          <w:tab w:val="left" w:pos="1211"/>
          <w:tab w:val="left" w:pos="3326"/>
          <w:tab w:val="left" w:pos="5069"/>
          <w:tab w:val="left" w:pos="7216"/>
          <w:tab w:val="left" w:pos="9356"/>
        </w:tabs>
        <w:ind w:right="140"/>
        <w:jc w:val="left"/>
        <w:rPr>
          <w:sz w:val="28"/>
        </w:rPr>
      </w:pPr>
      <w:r>
        <w:rPr>
          <w:spacing w:val="-2"/>
          <w:sz w:val="28"/>
        </w:rPr>
        <w:t>щорічна</w:t>
      </w:r>
      <w:r>
        <w:rPr>
          <w:sz w:val="28"/>
        </w:rPr>
        <w:tab/>
      </w:r>
      <w:r>
        <w:rPr>
          <w:spacing w:val="-4"/>
          <w:sz w:val="28"/>
        </w:rPr>
        <w:t>акція</w:t>
      </w:r>
      <w:r>
        <w:rPr>
          <w:sz w:val="28"/>
        </w:rPr>
        <w:tab/>
      </w:r>
      <w:r>
        <w:rPr>
          <w:spacing w:val="-2"/>
          <w:sz w:val="28"/>
        </w:rPr>
        <w:t>«Ангели</w:t>
      </w:r>
      <w:r>
        <w:rPr>
          <w:sz w:val="28"/>
        </w:rPr>
        <w:tab/>
      </w:r>
      <w:r>
        <w:rPr>
          <w:spacing w:val="-2"/>
          <w:sz w:val="28"/>
        </w:rPr>
        <w:t>пам’яті»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https://www.maidanmuseum.org/uk/node/2756</w:t>
        </w:r>
      </w:hyperlink>
      <w:r>
        <w:rPr>
          <w:spacing w:val="-2"/>
          <w:sz w:val="28"/>
        </w:rPr>
        <w:t>.</w:t>
      </w:r>
    </w:p>
    <w:p w14:paraId="6E3FD80C" w14:textId="77777777" w:rsidR="00507EB2" w:rsidRDefault="00507EB2">
      <w:pPr>
        <w:pStyle w:val="a3"/>
      </w:pPr>
    </w:p>
    <w:p w14:paraId="67938B92" w14:textId="77777777" w:rsidR="00507EB2" w:rsidRDefault="00507EB2">
      <w:pPr>
        <w:pStyle w:val="a3"/>
      </w:pPr>
    </w:p>
    <w:p w14:paraId="225E4592" w14:textId="77777777" w:rsidR="00507EB2" w:rsidRDefault="00507EB2">
      <w:pPr>
        <w:pStyle w:val="a3"/>
        <w:spacing w:before="48"/>
      </w:pPr>
    </w:p>
    <w:p w14:paraId="2952A27B" w14:textId="77777777" w:rsidR="00507EB2" w:rsidRDefault="00507EB2">
      <w:pPr>
        <w:pStyle w:val="a3"/>
        <w:rPr>
          <w:b/>
        </w:rPr>
      </w:pPr>
    </w:p>
    <w:p w14:paraId="623004A0" w14:textId="77777777" w:rsidR="00507EB2" w:rsidRDefault="00507EB2">
      <w:pPr>
        <w:pStyle w:val="a3"/>
        <w:rPr>
          <w:b/>
        </w:rPr>
      </w:pPr>
    </w:p>
    <w:p w14:paraId="672E53F3" w14:textId="77777777" w:rsidR="00507EB2" w:rsidRDefault="00507EB2">
      <w:pPr>
        <w:pStyle w:val="a3"/>
        <w:rPr>
          <w:b/>
        </w:rPr>
      </w:pPr>
    </w:p>
    <w:p w14:paraId="77578BB5" w14:textId="77777777" w:rsidR="00507EB2" w:rsidRDefault="00507EB2">
      <w:pPr>
        <w:pStyle w:val="a3"/>
        <w:rPr>
          <w:b/>
        </w:rPr>
      </w:pPr>
    </w:p>
    <w:p w14:paraId="74979750" w14:textId="77777777" w:rsidR="00507EB2" w:rsidRDefault="00507EB2">
      <w:pPr>
        <w:pStyle w:val="a3"/>
        <w:rPr>
          <w:b/>
        </w:rPr>
      </w:pPr>
    </w:p>
    <w:p w14:paraId="7694BBF0" w14:textId="77777777" w:rsidR="00507EB2" w:rsidRDefault="00507EB2">
      <w:pPr>
        <w:pStyle w:val="a3"/>
        <w:rPr>
          <w:b/>
        </w:rPr>
      </w:pPr>
    </w:p>
    <w:p w14:paraId="118D320E" w14:textId="0D97433F" w:rsidR="00507EB2" w:rsidRDefault="00507EB2" w:rsidP="00407B6B">
      <w:pPr>
        <w:rPr>
          <w:sz w:val="16"/>
        </w:rPr>
      </w:pPr>
    </w:p>
    <w:sectPr w:rsidR="00507EB2" w:rsidSect="00407B6B">
      <w:footerReference w:type="default" r:id="rId11"/>
      <w:pgSz w:w="11910" w:h="16840"/>
      <w:pgMar w:top="620" w:right="709" w:bottom="1378" w:left="1559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A250" w14:textId="77777777" w:rsidR="004876AD" w:rsidRDefault="004876AD">
      <w:r>
        <w:separator/>
      </w:r>
    </w:p>
  </w:endnote>
  <w:endnote w:type="continuationSeparator" w:id="0">
    <w:p w14:paraId="2B297C8F" w14:textId="77777777" w:rsidR="004876AD" w:rsidRDefault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FEC6" w14:textId="4E4CE8A4" w:rsidR="00507EB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1BB1A4C" wp14:editId="7785C9CB">
              <wp:simplePos x="0" y="0"/>
              <wp:positionH relativeFrom="page">
                <wp:posOffset>55880</wp:posOffset>
              </wp:positionH>
              <wp:positionV relativeFrom="page">
                <wp:posOffset>10558005</wp:posOffset>
              </wp:positionV>
              <wp:extent cx="45085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5F111" w14:textId="77777777" w:rsidR="00507EB2" w:rsidRDefault="00000000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B1A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.4pt;margin-top:831.35pt;width:3.55pt;height: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" filled="f" stroked="f">
              <v:textbox inset="0,0,0,0">
                <w:txbxContent>
                  <w:p w14:paraId="7225F111" w14:textId="77777777" w:rsidR="00507EB2" w:rsidRDefault="00000000">
                    <w:pPr>
                      <w:spacing w:line="142" w:lineRule="exact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10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ED5E" w14:textId="77777777" w:rsidR="004876AD" w:rsidRDefault="004876AD">
      <w:r>
        <w:separator/>
      </w:r>
    </w:p>
  </w:footnote>
  <w:footnote w:type="continuationSeparator" w:id="0">
    <w:p w14:paraId="59CF4111" w14:textId="77777777" w:rsidR="004876AD" w:rsidRDefault="0048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0918"/>
    <w:multiLevelType w:val="hybridMultilevel"/>
    <w:tmpl w:val="35988844"/>
    <w:lvl w:ilvl="0" w:tplc="0C80D7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714FA28">
      <w:numFmt w:val="bullet"/>
      <w:lvlText w:val="•"/>
      <w:lvlJc w:val="left"/>
      <w:pPr>
        <w:ind w:left="2061" w:hanging="360"/>
      </w:pPr>
      <w:rPr>
        <w:rFonts w:hint="default"/>
        <w:lang w:val="uk-UA" w:eastAsia="en-US" w:bidi="ar-SA"/>
      </w:rPr>
    </w:lvl>
    <w:lvl w:ilvl="2" w:tplc="625600BE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3" w:tplc="E9C00910">
      <w:numFmt w:val="bullet"/>
      <w:lvlText w:val="•"/>
      <w:lvlJc w:val="left"/>
      <w:pPr>
        <w:ind w:left="3745" w:hanging="360"/>
      </w:pPr>
      <w:rPr>
        <w:rFonts w:hint="default"/>
        <w:lang w:val="uk-UA" w:eastAsia="en-US" w:bidi="ar-SA"/>
      </w:rPr>
    </w:lvl>
    <w:lvl w:ilvl="4" w:tplc="092A1030">
      <w:numFmt w:val="bullet"/>
      <w:lvlText w:val="•"/>
      <w:lvlJc w:val="left"/>
      <w:pPr>
        <w:ind w:left="4587" w:hanging="360"/>
      </w:pPr>
      <w:rPr>
        <w:rFonts w:hint="default"/>
        <w:lang w:val="uk-UA" w:eastAsia="en-US" w:bidi="ar-SA"/>
      </w:rPr>
    </w:lvl>
    <w:lvl w:ilvl="5" w:tplc="543E3948">
      <w:numFmt w:val="bullet"/>
      <w:lvlText w:val="•"/>
      <w:lvlJc w:val="left"/>
      <w:pPr>
        <w:ind w:left="5429" w:hanging="360"/>
      </w:pPr>
      <w:rPr>
        <w:rFonts w:hint="default"/>
        <w:lang w:val="uk-UA" w:eastAsia="en-US" w:bidi="ar-SA"/>
      </w:rPr>
    </w:lvl>
    <w:lvl w:ilvl="6" w:tplc="E4EE2456">
      <w:numFmt w:val="bullet"/>
      <w:lvlText w:val="•"/>
      <w:lvlJc w:val="left"/>
      <w:pPr>
        <w:ind w:left="6271" w:hanging="360"/>
      </w:pPr>
      <w:rPr>
        <w:rFonts w:hint="default"/>
        <w:lang w:val="uk-UA" w:eastAsia="en-US" w:bidi="ar-SA"/>
      </w:rPr>
    </w:lvl>
    <w:lvl w:ilvl="7" w:tplc="464676D6">
      <w:numFmt w:val="bullet"/>
      <w:lvlText w:val="•"/>
      <w:lvlJc w:val="left"/>
      <w:pPr>
        <w:ind w:left="7113" w:hanging="360"/>
      </w:pPr>
      <w:rPr>
        <w:rFonts w:hint="default"/>
        <w:lang w:val="uk-UA" w:eastAsia="en-US" w:bidi="ar-SA"/>
      </w:rPr>
    </w:lvl>
    <w:lvl w:ilvl="8" w:tplc="75D62C3A">
      <w:numFmt w:val="bullet"/>
      <w:lvlText w:val="•"/>
      <w:lvlJc w:val="left"/>
      <w:pPr>
        <w:ind w:left="7955" w:hanging="360"/>
      </w:pPr>
      <w:rPr>
        <w:rFonts w:hint="default"/>
        <w:lang w:val="uk-UA" w:eastAsia="en-US" w:bidi="ar-SA"/>
      </w:rPr>
    </w:lvl>
  </w:abstractNum>
  <w:num w:numId="1" w16cid:durableId="126735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EB2"/>
    <w:rsid w:val="002D6DF3"/>
    <w:rsid w:val="00407B6B"/>
    <w:rsid w:val="004876AD"/>
    <w:rsid w:val="005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6422D"/>
  <w15:docId w15:val="{2DF73DAB-B3E2-4F56-B527-27F7698C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2" w:hanging="1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5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1210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7B6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07B6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07B6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07B6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cega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l.li/ynoin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idanmuseum.org/uk/node/2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cvac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Семенюк Марія Ігорівна</cp:lastModifiedBy>
  <cp:revision>2</cp:revision>
  <dcterms:created xsi:type="dcterms:W3CDTF">2025-02-19T14:51:00Z</dcterms:created>
  <dcterms:modified xsi:type="dcterms:W3CDTF">2025-02-19T14:52:00Z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Aspose.Words for .NET 22.12.0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2025-02-19T14:52:59Z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eb258766-b719-42a2-a2af-31a2b3c3a817</vt:lpwstr>
  </property>
  <property fmtid="{D5CDD505-2E9C-101B-9397-08002B2CF9AE}" pid="11" name="MSIP_Label_defa4170-0d19-0005-0004-bc88714345d2_ActionId">
    <vt:lpwstr>4332a11b-1f06-418b-8da2-5b2e060f30a7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