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FB9FD" w14:textId="79F34E46" w:rsidR="1B58F50F" w:rsidRDefault="1B58F50F" w:rsidP="27A317F7">
      <w:pPr>
        <w:spacing w:before="120" w:after="120"/>
        <w:ind w:left="6480" w:right="360"/>
        <w:jc w:val="center"/>
      </w:pP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>Додаток 1</w:t>
      </w:r>
      <w:r>
        <w:br/>
      </w:r>
      <w:r w:rsidRPr="27A3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"/>
        </w:rPr>
        <w:t xml:space="preserve"> до Порядку</w:t>
      </w:r>
    </w:p>
    <w:p w14:paraId="277D47E4" w14:textId="1A73510E" w:rsidR="1B58F50F" w:rsidRDefault="1B58F50F" w:rsidP="27A317F7">
      <w:pPr>
        <w:tabs>
          <w:tab w:val="left" w:pos="993"/>
        </w:tabs>
        <w:spacing w:before="120" w:after="120"/>
        <w:ind w:left="360" w:right="360"/>
        <w:jc w:val="center"/>
      </w:pPr>
      <w:r w:rsidRPr="27A31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"/>
        </w:rPr>
        <w:t xml:space="preserve">ІНФОРМАЦІЯ </w:t>
      </w:r>
      <w:r>
        <w:br/>
      </w:r>
      <w:r w:rsidRPr="27A317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"/>
        </w:rPr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tbl>
      <w:tblPr>
        <w:tblW w:w="10612" w:type="dxa"/>
        <w:tblInd w:w="45" w:type="dxa"/>
        <w:tblLayout w:type="fixed"/>
        <w:tblLook w:val="06A0" w:firstRow="1" w:lastRow="0" w:firstColumn="1" w:lastColumn="0" w:noHBand="1" w:noVBand="1"/>
      </w:tblPr>
      <w:tblGrid>
        <w:gridCol w:w="593"/>
        <w:gridCol w:w="345"/>
        <w:gridCol w:w="2670"/>
        <w:gridCol w:w="1260"/>
        <w:gridCol w:w="1515"/>
        <w:gridCol w:w="762"/>
        <w:gridCol w:w="684"/>
        <w:gridCol w:w="345"/>
        <w:gridCol w:w="750"/>
        <w:gridCol w:w="345"/>
        <w:gridCol w:w="990"/>
        <w:gridCol w:w="353"/>
      </w:tblGrid>
      <w:tr w:rsidR="27A317F7" w14:paraId="333FC70C" w14:textId="77777777" w:rsidTr="14DDCBFD">
        <w:trPr>
          <w:gridAfter w:val="1"/>
          <w:wAfter w:w="353" w:type="dxa"/>
          <w:trHeight w:val="300"/>
        </w:trPr>
        <w:tc>
          <w:tcPr>
            <w:tcW w:w="10259" w:type="dxa"/>
            <w:gridSpan w:val="1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3B98BDC" w14:textId="644609BA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Загальна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</w:t>
            </w:r>
            <w:proofErr w:type="spellEnd"/>
          </w:p>
          <w:p w14:paraId="7E79F85E" w14:textId="67458351" w:rsidR="27A317F7" w:rsidRDefault="051B8487" w:rsidP="14DDCBF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 об’єкту: </w:t>
            </w:r>
            <w:r w:rsidRPr="006A10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Укриття</w:t>
            </w: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44603405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44603405" w:rsidRPr="14DDCBFD">
              <w:rPr>
                <w:rFonts w:ascii="Calibri" w:eastAsia="Calibri" w:hAnsi="Calibri" w:cs="Calibri"/>
                <w:color w:val="000000" w:themeColor="text1"/>
              </w:rPr>
              <w:t>Дошкільного навчального закладу (яс</w:t>
            </w:r>
            <w:r w:rsidR="35A6303B" w:rsidRPr="14DDCBFD">
              <w:rPr>
                <w:rFonts w:ascii="Calibri" w:eastAsia="Calibri" w:hAnsi="Calibri" w:cs="Calibri"/>
                <w:color w:val="000000" w:themeColor="text1"/>
              </w:rPr>
              <w:t>ла</w:t>
            </w:r>
            <w:r w:rsidR="44603405" w:rsidRPr="14DDCBFD">
              <w:rPr>
                <w:rFonts w:ascii="Calibri" w:eastAsia="Calibri" w:hAnsi="Calibri" w:cs="Calibri"/>
                <w:color w:val="000000" w:themeColor="text1"/>
              </w:rPr>
              <w:t>-сад</w:t>
            </w:r>
            <w:r w:rsidR="1ABD25CC" w:rsidRPr="14DDCBFD">
              <w:rPr>
                <w:rFonts w:ascii="Calibri" w:eastAsia="Calibri" w:hAnsi="Calibri" w:cs="Calibri"/>
                <w:color w:val="000000" w:themeColor="text1"/>
              </w:rPr>
              <w:t>о</w:t>
            </w:r>
            <w:r w:rsidR="00B22EDC">
              <w:rPr>
                <w:rFonts w:ascii="Calibri" w:eastAsia="Calibri" w:hAnsi="Calibri" w:cs="Calibri"/>
                <w:color w:val="000000" w:themeColor="text1"/>
              </w:rPr>
              <w:t xml:space="preserve">к) </w:t>
            </w:r>
            <w:r w:rsidR="44603405" w:rsidRPr="14DDCBFD">
              <w:rPr>
                <w:rFonts w:ascii="Calibri" w:eastAsia="Calibri" w:hAnsi="Calibri" w:cs="Calibri"/>
                <w:color w:val="000000" w:themeColor="text1"/>
              </w:rPr>
              <w:t xml:space="preserve">№ </w:t>
            </w:r>
            <w:r w:rsidR="00B22EDC">
              <w:rPr>
                <w:rFonts w:ascii="Calibri" w:eastAsia="Calibri" w:hAnsi="Calibri" w:cs="Calibri"/>
                <w:color w:val="000000" w:themeColor="text1"/>
              </w:rPr>
              <w:t>465</w:t>
            </w:r>
            <w:r w:rsidR="40239C5A" w:rsidRPr="14DDCBF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B22EDC">
              <w:rPr>
                <w:rFonts w:ascii="Calibri" w:eastAsia="Calibri" w:hAnsi="Calibri" w:cs="Calibri"/>
                <w:color w:val="000000" w:themeColor="text1"/>
              </w:rPr>
              <w:t xml:space="preserve">              </w:t>
            </w:r>
            <w:r w:rsidR="44603405" w:rsidRPr="14DDCBFD">
              <w:rPr>
                <w:rFonts w:ascii="Calibri" w:eastAsia="Calibri" w:hAnsi="Calibri" w:cs="Calibri"/>
                <w:color w:val="000000" w:themeColor="text1"/>
              </w:rPr>
              <w:t>Шевченківського району м. Києва</w:t>
            </w:r>
          </w:p>
        </w:tc>
      </w:tr>
      <w:tr w:rsidR="27A317F7" w14:paraId="40BD01BE" w14:textId="77777777" w:rsidTr="14DDCBFD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5732930" w14:textId="70B053C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1.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FBD7993" w14:textId="76CBEF55" w:rsidR="27A317F7" w:rsidRDefault="051B8487" w:rsidP="27A317F7">
            <w:pPr>
              <w:spacing w:before="120" w:after="120"/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проведення</w:t>
            </w:r>
            <w:proofErr w:type="spellEnd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обстеження</w:t>
            </w:r>
            <w:proofErr w:type="spellEnd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286C72F9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</w:t>
            </w:r>
            <w:r w:rsidR="4B25CCE0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="286C72F9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</w:t>
            </w:r>
            <w:r w:rsidR="7C739963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="286C72F9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1EA951" w14:textId="79FF561A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A8D2272" w14:textId="77777777" w:rsidTr="14DDCBFD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E915451" w14:textId="70494A3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2.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F14213A" w14:textId="2DAE1591" w:rsidR="27A317F7" w:rsidRDefault="051B8487" w:rsidP="14DDCBFD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Адреса </w:t>
            </w: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розташування</w:t>
            </w:r>
            <w:proofErr w:type="spellEnd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об’єкта</w:t>
            </w:r>
            <w:proofErr w:type="spellEnd"/>
            <w:r w:rsidR="19366DF2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м. </w:t>
            </w:r>
            <w:proofErr w:type="spellStart"/>
            <w:r w:rsidR="19366DF2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="5371635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иїв</w:t>
            </w:r>
            <w:proofErr w:type="spellEnd"/>
            <w:r w:rsidR="5371635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68D608F3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вул</w:t>
            </w:r>
            <w:proofErr w:type="spellEnd"/>
            <w:r w:rsidR="68D608F3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29CACB69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Д. </w:t>
            </w:r>
            <w:proofErr w:type="spellStart"/>
            <w:r w:rsid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Щербаківського</w:t>
            </w:r>
            <w:proofErr w:type="spellEnd"/>
            <w:r w:rsid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49-Г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54CBDA6" w14:textId="0D37AAED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30FA113" w14:textId="77777777" w:rsidTr="14DDCBFD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C8942C" w14:textId="44E9ECA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3.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67038B1" w14:textId="6E5DFC38" w:rsidR="27A317F7" w:rsidRDefault="051B8487" w:rsidP="14DDCBFD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Форма </w:t>
            </w: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власності</w:t>
            </w:r>
            <w:proofErr w:type="spellEnd"/>
            <w:r w:rsidR="3B5C15A5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5D85032D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5D85032D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комунальна</w:t>
            </w:r>
            <w:proofErr w:type="spellEnd"/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F7E5BFC" w14:textId="25ECBC2B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75BC13E" w14:textId="77777777" w:rsidTr="14DDCBFD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BC110CB" w14:textId="28D4A19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4.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47ECEAA" w14:textId="3ADC08CA" w:rsidR="27A317F7" w:rsidRDefault="051B8487" w:rsidP="14DDCBFD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послуги</w:t>
            </w:r>
            <w:proofErr w:type="spellEnd"/>
            <w:r w:rsidR="0F9F286B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F9F286B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освітня</w:t>
            </w:r>
            <w:proofErr w:type="spellEnd"/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64637F" w14:textId="5C629F5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C089770" w14:textId="77777777" w:rsidTr="14DDCBFD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E2E4DC5" w14:textId="7BF7FC5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5.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A500B74" w14:textId="5C0F4F3C" w:rsidR="27A317F7" w:rsidRDefault="051B8487" w:rsidP="14DDCBFD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Особа, яка проводила </w:t>
            </w: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обстеження</w:t>
            </w:r>
            <w:proofErr w:type="spellEnd"/>
            <w:r w:rsidR="172CD2F4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62423D2E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264CDC3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директор </w:t>
            </w:r>
            <w:r w:rsid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Стрельченко Н.М.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1607223" w14:textId="18E614F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879DD06" w14:textId="77777777" w:rsidTr="14DDCBFD">
        <w:trPr>
          <w:gridAfter w:val="1"/>
          <w:wAfter w:w="353" w:type="dxa"/>
          <w:trHeight w:val="300"/>
        </w:trPr>
        <w:tc>
          <w:tcPr>
            <w:tcW w:w="593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7073E3A" w14:textId="1B28133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6.</w:t>
            </w:r>
          </w:p>
        </w:tc>
        <w:tc>
          <w:tcPr>
            <w:tcW w:w="7581" w:type="dxa"/>
            <w:gridSpan w:val="7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D2F4090" w14:textId="44EF66D1" w:rsidR="27A317F7" w:rsidRDefault="051B8487" w:rsidP="27A317F7">
            <w:pPr>
              <w:spacing w:before="120" w:after="120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Контактні</w:t>
            </w:r>
            <w:proofErr w:type="spellEnd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дані</w:t>
            </w:r>
            <w:proofErr w:type="spellEnd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 особу, яка проводила </w:t>
            </w: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обстеження</w:t>
            </w:r>
            <w:proofErr w:type="spellEnd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контактний</w:t>
            </w:r>
            <w:proofErr w:type="spellEnd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номер телефону, адреса </w:t>
            </w: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електронної</w:t>
            </w:r>
            <w:proofErr w:type="spellEnd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пошти</w:t>
            </w:r>
            <w:proofErr w:type="spellEnd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  <w:r w:rsidR="27E3696C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044 </w:t>
            </w:r>
            <w:r w:rsid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400 73 55</w:t>
            </w:r>
            <w:r w:rsidR="27E3696C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, dnz</w:t>
            </w:r>
            <w:r w:rsid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-465</w:t>
            </w:r>
            <w:r w:rsidR="27E3696C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@ukr.net</w:t>
            </w:r>
          </w:p>
        </w:tc>
        <w:tc>
          <w:tcPr>
            <w:tcW w:w="2085" w:type="dxa"/>
            <w:gridSpan w:val="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493D91A" w14:textId="636FF4F0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0D24069" w14:textId="77777777" w:rsidTr="14DDCBFD">
        <w:trPr>
          <w:trHeight w:val="15"/>
        </w:trPr>
        <w:tc>
          <w:tcPr>
            <w:tcW w:w="71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77CA990" w14:textId="480C2600" w:rsidR="27A317F7" w:rsidRDefault="27A317F7" w:rsidP="27A317F7">
            <w:pPr>
              <w:spacing w:before="120" w:after="120"/>
              <w:jc w:val="center"/>
            </w:pPr>
            <w:r w:rsidRPr="00B22E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Критерії </w:t>
            </w:r>
            <w:proofErr w:type="spellStart"/>
            <w:r w:rsidRPr="00B22E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безбар’єрності</w:t>
            </w:r>
            <w:proofErr w:type="spellEnd"/>
            <w:r w:rsidRPr="00B22E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779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6C7EA74" w14:textId="43C7EE7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Відповідність критеріям </w:t>
            </w:r>
            <w:r>
              <w:br/>
            </w: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(так або ні)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BFED823" w14:textId="3265CBCB" w:rsidR="27A317F7" w:rsidRDefault="27A317F7" w:rsidP="27A317F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Примітки</w:t>
            </w:r>
            <w:proofErr w:type="spellEnd"/>
          </w:p>
        </w:tc>
      </w:tr>
      <w:tr w:rsidR="27A317F7" w14:paraId="78D36741" w14:textId="77777777" w:rsidTr="14DDCBFD">
        <w:trPr>
          <w:trHeight w:val="15"/>
        </w:trPr>
        <w:tc>
          <w:tcPr>
            <w:tcW w:w="9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DAD0FC5" w14:textId="7FDA708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1.</w:t>
            </w:r>
          </w:p>
        </w:tc>
        <w:tc>
          <w:tcPr>
            <w:tcW w:w="6207" w:type="dxa"/>
            <w:gridSpan w:val="4"/>
            <w:tcBorders>
              <w:top w:val="single" w:sz="8" w:space="0" w:color="auto"/>
              <w:bottom w:val="single" w:sz="8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8418EB" w14:textId="57D8FB18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Шляхи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1779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FDC2F3" w14:textId="58E67AA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FEF59C9" w14:textId="24B086F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0D59C52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3E7BC56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B80E6B" w14:textId="283B81CE" w:rsidR="27A317F7" w:rsidRPr="00B22EDC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перевозять</w:t>
            </w:r>
            <w:proofErr w:type="spellEnd"/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5FED48" w14:textId="21682807" w:rsidR="27A317F7" w:rsidRDefault="1B17F47D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77A43F" w14:textId="6B24383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7A317F7" w14:paraId="40008A10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515065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6A3228" w14:textId="0A326F2F" w:rsidR="27A317F7" w:rsidRDefault="27A317F7" w:rsidP="27A317F7">
            <w:pPr>
              <w:spacing w:before="120" w:after="120"/>
            </w:pP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A61E0F3" w14:textId="6D480CC4" w:rsidR="27A317F7" w:rsidRDefault="79D6037F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2595CD" w14:textId="0785143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E4B53DE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4C63705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45EDD" w14:textId="181D097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3) ширина входу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прилеглу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територію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ширина дверей,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хвірток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їх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35B581" w14:textId="0094B203" w:rsidR="27A317F7" w:rsidRDefault="78CB2DCD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3AB749" w14:textId="03BA289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B0ACFAB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1C0C5A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243D84" w14:textId="11A15F86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пішохідних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доріжок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1,8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907A06D" w14:textId="74E0455C" w:rsidR="27A317F7" w:rsidRDefault="3750FC84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7012E32" w14:textId="13242AB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7A317F7" w14:paraId="6232DEEF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00C71E8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954BB8" w14:textId="3CE7DCC1" w:rsidR="27A317F7" w:rsidRDefault="27A317F7" w:rsidP="27A317F7">
            <w:pPr>
              <w:spacing w:before="120" w:after="120"/>
            </w:pP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крупноструктурних</w:t>
            </w:r>
            <w:proofErr w:type="spellEnd"/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B4CB58" w14:textId="481A4F29" w:rsidR="27A317F7" w:rsidRDefault="112FD0C1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06840B" w14:textId="48706AB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7B89F5D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0BFC3EC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869ABC" w14:textId="7E5F992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прилеглій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території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шляху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вони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пандусом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40F5C6" w14:textId="4F9813BB" w:rsidR="27A317F7" w:rsidRDefault="7FF49507" w:rsidP="27A317F7">
            <w:pPr>
              <w:spacing w:before="120" w:after="120"/>
              <w:jc w:val="center"/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</w:t>
            </w:r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21437B" w14:textId="5420C70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914BE2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F151B8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523580" w14:textId="333EA531" w:rsidR="27A317F7" w:rsidRDefault="27A317F7" w:rsidP="27A317F7">
            <w:pPr>
              <w:spacing w:before="120" w:after="120"/>
            </w:pP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4D230D" w14:textId="3F545FA8" w:rsidR="27A317F7" w:rsidRDefault="66A24321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29EEAB" w14:textId="1E9D377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1B399E5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3778180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DD23FC" w14:textId="0777DDA0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сходи в межах одного маршу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однакові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підйому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сходинок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02078A" w14:textId="4B9BDEEF" w:rsidR="27A317F7" w:rsidRDefault="43A1BB1E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CF80F8" w14:textId="53F7B69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258046F" w14:textId="77777777" w:rsidTr="14DDCBFD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524C3" w14:textId="1B2BD9D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8A6478" w14:textId="01ABA82A" w:rsidR="27A317F7" w:rsidRDefault="27A317F7" w:rsidP="27A317F7">
            <w:pPr>
              <w:spacing w:before="120" w:after="120"/>
            </w:pP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AB7292" w14:textId="1B95D2A6" w:rsidR="27A317F7" w:rsidRDefault="31A82CBA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2B93CE" w14:textId="09F63C3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7FAFB68" w14:textId="77777777" w:rsidTr="14DDCBFD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EFCED" w14:textId="6C1514E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9FCBBA" w14:textId="7772249A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10)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міжнародним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символом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шляхи/напрямки,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безпечні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5074963" w14:textId="4F8C452B" w:rsidR="27A317F7" w:rsidRDefault="720C80C2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931D2A" w14:textId="4EC9026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14241CA" w14:textId="77777777" w:rsidTr="14DDCBFD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6FA4EF" w14:textId="639392D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2.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52D2CD" w14:textId="04DF3BC7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Вхідна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9B104B" w14:textId="1A26C5F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808CE1" w14:textId="66122D3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2B25EA8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DA24120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D319BA" w14:textId="447ADF57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вхідна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облаштована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візуально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тактильно)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інформаційними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покажчиками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адресна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табличка,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про: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назву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опис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діяльності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установи,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години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довідкова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72AC74" w14:textId="24C0B533" w:rsidR="27A317F7" w:rsidRDefault="34F24B06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423F2B" w14:textId="778CDF7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4119350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9267A54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73707A" w14:textId="6B39848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вході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споруди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вони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пандусом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6D0994" w14:textId="7C8B6BFF" w:rsidR="27A317F7" w:rsidRDefault="2A596EE5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B53BB3" w14:textId="0D49376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A5DE19A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06EC652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2EB51CC" w14:textId="6CBE4B56" w:rsidR="27A317F7" w:rsidRPr="00B22EDC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</w:t>
            </w: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773B01" w14:textId="62DE155A" w:rsidR="27A317F7" w:rsidRDefault="051B8487" w:rsidP="27A317F7">
            <w:pPr>
              <w:spacing w:before="120" w:after="120"/>
              <w:jc w:val="center"/>
            </w:pP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proofErr w:type="spellStart"/>
            <w:r w:rsidR="2BF808C0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8165B8" w14:textId="3A12B98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B73E28B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175EE1A6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9D0EA4" w14:textId="0DDC3205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сходи в межах одного маршу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однакові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підйому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сходинок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6BDB24" w14:textId="010B57AD" w:rsidR="27A317F7" w:rsidRDefault="696FD45D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026231A" w14:textId="0098EB3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1714500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2CD00BE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D9FD0B" w14:textId="11D9E232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облаштовані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спеціальними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пристосуваннями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фіксації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полотен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“зачинено” і “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відчинено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”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0DDA4" w14:textId="362B321D" w:rsidR="27A317F7" w:rsidRDefault="32A15C82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5A0675" w14:textId="65185CD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35CEDE9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A06F8E1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926102" w14:textId="1845900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прозорих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фасадних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них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CC03EC" w14:textId="7A25A043" w:rsidR="27A317F7" w:rsidRDefault="4E23A441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7B47A5" w14:textId="2301A8D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5DB9ADF" w14:textId="77777777" w:rsidTr="14DDCBFD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958A122" w14:textId="42BD3A3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1759A3" w14:textId="650DFC6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отвори без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перепадів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отворів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6E2F6D" w14:textId="7580430C" w:rsidR="27A317F7" w:rsidRDefault="6BE98DD3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DA6C7D" w14:textId="5A302E4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DAD2256" w14:textId="77777777" w:rsidTr="14DDCBFD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27E44E" w14:textId="0775032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2F770A" w14:textId="2197BC94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кожного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елемента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порога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перевищує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0,02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A041BD" w14:textId="42742B65" w:rsidR="27A317F7" w:rsidRDefault="786DF039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4ACE5A7" w14:textId="05F0F0C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43E2019" w14:textId="77777777" w:rsidTr="14DDCBFD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6C1EC3B" w14:textId="02DFBF6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EB675AB" w14:textId="7C77FC8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9) кути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заокруглені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F06E84" w14:textId="294C2043" w:rsidR="27A317F7" w:rsidRDefault="4AE98BD2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00755C3" w14:textId="430883D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45A7D9C" w14:textId="77777777" w:rsidTr="14DDCBFD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D6CF33" w14:textId="15E994D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9C94A19" w14:textId="00AD35CB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10) на першу/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останню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пороги,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перешкоди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площини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ребра - 0,05-0,1 метра,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вертикальної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- 0,03-0,05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CB8BD7" w14:textId="06C0817C" w:rsidR="27A317F7" w:rsidRDefault="4AD3D4FF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04094C8" w14:textId="30E1BBF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7943BB0" w14:textId="77777777" w:rsidTr="14DDCBFD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0A35D91" w14:textId="45E0E96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956146" w14:textId="610C1BE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11)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розміри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тамбура (у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становлять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1,5 х 1,5 метра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змогу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маневрувати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кріслу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колісному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EC6AA4" w14:textId="0692CF52" w:rsidR="27A317F7" w:rsidRDefault="7DD2EADB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2FD56A" w14:textId="749ACCC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D73021E" w14:textId="77777777" w:rsidTr="14DDCBFD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0F5F33D" w14:textId="2E8A6DE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1A5B54" w14:textId="224A4344" w:rsidR="27A317F7" w:rsidRDefault="27A317F7" w:rsidP="27A317F7">
            <w:pPr>
              <w:spacing w:before="120" w:after="120"/>
            </w:pP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5127BF" w14:textId="7E4D8424" w:rsidR="27A317F7" w:rsidRDefault="0B38E4DD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47DF49" w14:textId="15265D0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80EE6C6" w14:textId="77777777" w:rsidTr="14DDCBFD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8CDD5D" w14:textId="53FDCA2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C409FAE" w14:textId="1FA3F2B2" w:rsidR="27A317F7" w:rsidRDefault="27A317F7" w:rsidP="27A317F7">
            <w:pPr>
              <w:spacing w:before="120" w:after="120"/>
            </w:pP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88485E0" w14:textId="134DAAD1" w:rsidR="27A317F7" w:rsidRDefault="2EA726EE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B0BF9CD" w14:textId="7702CB2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A930880" w14:textId="77777777" w:rsidTr="14DDCBFD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B762ECE" w14:textId="6D69BBF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3512083" w14:textId="2840B6C1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14)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турнікета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ширина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просвіті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A9FF48" w14:textId="02BEBFF5" w:rsidR="27A317F7" w:rsidRDefault="40AEFB85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2B7BF3" w14:textId="5B5A4F2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CE6897D" w14:textId="77777777" w:rsidTr="14DDCBFD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E99A98" w14:textId="4C824B7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3.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F9C0164" w14:textId="35F2B2A7" w:rsidR="27A317F7" w:rsidRDefault="27A317F7" w:rsidP="27A317F7">
            <w:pPr>
              <w:spacing w:before="120" w:after="120"/>
            </w:pP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16DF560" w14:textId="7678C5E1" w:rsidR="27A317F7" w:rsidRDefault="744D61FA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07CEB9" w14:textId="46641A0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BBF543B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118F45B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4E555AE" w14:textId="5E4116DA" w:rsidR="27A317F7" w:rsidRDefault="27A317F7" w:rsidP="27A317F7">
            <w:pPr>
              <w:spacing w:before="120" w:after="120"/>
            </w:pP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продубльовані</w:t>
            </w:r>
            <w:proofErr w:type="spellEnd"/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пандусом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57DF4C" w14:textId="36B01523" w:rsidR="27A317F7" w:rsidRDefault="2B6C3528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2D3983" w14:textId="4A5F75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85008BE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4BDA80A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ED2D20" w14:textId="60E6E94D" w:rsidR="27A317F7" w:rsidRPr="00B22EDC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AA7468" w14:textId="02CC7A40" w:rsidR="27A317F7" w:rsidRDefault="0DD2AE9C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7F5CD2C" w14:textId="4B81F62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94E22F" w14:textId="77777777" w:rsidTr="14DDCBFD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06F2B4" w14:textId="32764CE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80232B" w14:textId="6C2E163B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сходи в межах одного маршу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однакові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формою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за шириною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підйому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сходинок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C1B15A" w14:textId="615CD42C" w:rsidR="27A317F7" w:rsidRDefault="092FFA74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103D4CB" w14:textId="74BF5E3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50A051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0B925FB4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BF7F98" w14:textId="07E607D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облаштовані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спеціальними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пристосуваннями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фіксації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полотен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положенні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“зачинено” і “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відчинено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”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77FB5E" w14:textId="1DFDB854" w:rsidR="27A317F7" w:rsidRDefault="19919C1E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D3CA86" w14:textId="38024C8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CD0BFD8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6DDC2EF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2235EA" w14:textId="395FAD0E" w:rsidR="27A317F7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прозорих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фасадних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них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50115B" w14:textId="41E28D1F" w:rsidR="27A317F7" w:rsidRDefault="264D9A4E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40110E" w14:textId="26C0917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9A249C2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68FFC80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6F2979" w14:textId="42E0F101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отвори без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перепадів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дверних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отворів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становить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AE9E8E" w14:textId="62091FF0" w:rsidR="27A317F7" w:rsidRDefault="46D1BEBD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34B02C" w14:textId="17CCA12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DC23F11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9FD3C4C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73057A" w14:textId="5BEB74BA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кожного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елемента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порога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перевищує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0,02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E5BB72" w14:textId="3F935A6F" w:rsidR="27A317F7" w:rsidRDefault="001A388D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8633F7" w14:textId="08E24B1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785C1A8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6B880B34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3AE08C" w14:textId="7B8D65F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8) кути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порогів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заокруглені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914C54" w14:textId="7B09C6F4" w:rsidR="27A317F7" w:rsidRDefault="4DCF2564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CFF5FA3" w14:textId="7F86ACC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D75136E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7D61B971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CC6953" w14:textId="60410EE4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9) на першу/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останню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сходинки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пороги,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перешкоди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нанесено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контрастне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кольором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(ширина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маркування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площини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ребра - 0,05-0,1 метра,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вертикальної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- 0,03-0,05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87A86E" w14:textId="7BEC1A8D" w:rsidR="27A317F7" w:rsidRDefault="1EF51E8F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D43058F" w14:textId="4A0659C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EE537C8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0B4C35B1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AA8B5" w14:textId="582422FE" w:rsidR="27A317F7" w:rsidRDefault="27A317F7" w:rsidP="27A317F7">
            <w:pPr>
              <w:spacing w:before="120" w:after="120"/>
            </w:pP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відеозв’язку</w:t>
            </w:r>
            <w:proofErr w:type="spellEnd"/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967DFB" w14:textId="04C1B41E" w:rsidR="27A317F7" w:rsidRDefault="3CBD0FF9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E82B50" w14:textId="05E5346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BE6BE71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F2C11C2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41A66" w14:textId="7436BCD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11)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відсутні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предмети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перепони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горизонтальні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виступають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над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поверхнею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підлоги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бордюри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пороги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на шляхах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EA2D35" w14:textId="63AC580C" w:rsidR="27A317F7" w:rsidRDefault="4E2DEBC4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DC6D9D" w14:textId="174CA48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5748761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0B043D9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EEAB265" w14:textId="5105C2ED" w:rsidR="27A317F7" w:rsidRDefault="27A317F7" w:rsidP="27A317F7">
            <w:pPr>
              <w:spacing w:before="120" w:after="120"/>
            </w:pP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B4FA269" w14:textId="164DB3B9" w:rsidR="27A317F7" w:rsidRDefault="530102F2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DD15C9F" w14:textId="30D1D60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B1CECEB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17AD670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39FAA1" w14:textId="2DB40BB0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13)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процес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відкриття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закриття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дверей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супроводжується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звуковим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сигналом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309E4A" w14:textId="403631A2" w:rsidR="27A317F7" w:rsidRDefault="52BCD186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78CB06" w14:textId="6C717D5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4A56295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7EE89A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B9667F" w14:textId="0E0F332A" w:rsidR="27A317F7" w:rsidRDefault="27A317F7" w:rsidP="27A317F7">
            <w:pPr>
              <w:spacing w:before="120" w:after="120"/>
            </w:pP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6C9AE2" w14:textId="6C840D9B" w:rsidR="27A317F7" w:rsidRDefault="0086F6F5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C7177E" w14:textId="1E1D38A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C7E6CA8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B20E8AC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38258A" w14:textId="158C12E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15)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номери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поверхів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зазначені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кнопках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намальовані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збільшеним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шрифтом та у контрастному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співвідношенні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кольорів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C7F0FAC" w14:textId="66AF1337" w:rsidR="27A317F7" w:rsidRDefault="4403B8F7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494338" w14:textId="63680BA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2B811D5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6E9232F5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FAD8DD5" w14:textId="2FB3041E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номери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поверхів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зазначені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кнопках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продубльовані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тактильному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вигляді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шрифтом Брайля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65891B" w14:textId="27C5C727" w:rsidR="27A317F7" w:rsidRDefault="0AAD5011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8A29102" w14:textId="0196B1C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7B695B8B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42B553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3D8DE28" w14:textId="32FAD5F8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17)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обладнано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функцією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голосового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повідомлення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номера поверху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9E2670D" w14:textId="40203627" w:rsidR="27A317F7" w:rsidRDefault="375B2E68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BD0AD7" w14:textId="1A7CE2A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5D225B8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38A45C5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EFBA0C0" w14:textId="5C2F714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18)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навпроти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дверей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табличка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із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номером поверху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2547065" w14:textId="2C90A896" w:rsidR="27A317F7" w:rsidRDefault="38CFE9AF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734624" w14:textId="34E7534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13DD67BB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23E45DB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ACCD7D3" w14:textId="1EB3130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19) ширина дверей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ліфта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01D38A9" w14:textId="42D3FB50" w:rsidR="27A317F7" w:rsidRDefault="516D985D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AF2657F" w14:textId="0D9D3BF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B90D85C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B63AC83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8280C68" w14:textId="251F05E8" w:rsidR="27A317F7" w:rsidRDefault="27A317F7" w:rsidP="27A317F7">
            <w:pPr>
              <w:spacing w:before="120" w:after="120"/>
            </w:pP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78168D" w14:textId="366B5730" w:rsidR="27A317F7" w:rsidRDefault="051B8487" w:rsidP="27A317F7">
            <w:pPr>
              <w:spacing w:before="120" w:after="120"/>
              <w:jc w:val="center"/>
            </w:pP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28D40194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6C0D283" w14:textId="39DED22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73D2E3F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00DA722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A9A68E3" w14:textId="1A67DD0F" w:rsidR="27A317F7" w:rsidRPr="00B22EDC" w:rsidRDefault="27A317F7" w:rsidP="27A317F7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6CE1F0" w14:textId="7D5E2ED0" w:rsidR="27A317F7" w:rsidRDefault="3924D211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6A20FB" w14:textId="1908F5F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7BDAEDEE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9F42645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3C6B49" w14:textId="31F7EF49" w:rsidR="27A317F7" w:rsidRDefault="27A317F7" w:rsidP="27A317F7">
            <w:pPr>
              <w:spacing w:before="120" w:after="120"/>
            </w:pP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3CF592" w14:textId="4F998655" w:rsidR="27A317F7" w:rsidRDefault="051B8487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52DAC014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C59EC8A" w14:textId="5C3974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FF26F66" w14:textId="77777777" w:rsidTr="14DDCBFD">
        <w:trPr>
          <w:trHeight w:val="15"/>
        </w:trPr>
        <w:tc>
          <w:tcPr>
            <w:tcW w:w="938" w:type="dxa"/>
            <w:gridSpan w:val="2"/>
            <w:vMerge w:val="restart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DBAF25" w14:textId="77B19BF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01C5779" w14:textId="1717C0D0" w:rsidR="27A317F7" w:rsidRDefault="27A317F7" w:rsidP="27A317F7">
            <w:pPr>
              <w:spacing w:before="120" w:after="120"/>
            </w:pP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23) окремі санітарно-гігієнічні приміщення (з окремим входом) обладнані аварійною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тривожною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сигналізацією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урахуванням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порушеннями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зору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8DBE5D8" w14:textId="1B4E49DF" w:rsidR="27A317F7" w:rsidRDefault="051B8487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60C40A15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8A891BA" w14:textId="0EC24E4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8DD19BA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18BAD4FD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2038F8C" w14:textId="6BE437B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24) привод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сигналізації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розташовано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межах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0,8-1,1 метра над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рівнем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підлоги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B02E90" w14:textId="268B5945" w:rsidR="27A317F7" w:rsidRDefault="051B8487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646BC354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3374AFE" w14:textId="33C208E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BF3611A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3954DEE8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498CA5" w14:textId="09A774F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25) шляхи/напрямки,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безпечні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міжнародним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знаком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зручності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DAB1945" w14:textId="08340776" w:rsidR="27A317F7" w:rsidRDefault="051B8487" w:rsidP="27A317F7">
            <w:pPr>
              <w:spacing w:before="120" w:after="120"/>
              <w:jc w:val="center"/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6D7498AD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46B2FBD" w14:textId="0256FA6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2AC7F03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444C0BE6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6CD4838" w14:textId="1E91B82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місце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розташування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пандуса (у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його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наявності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міжнародним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знаком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зручності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7796840" w14:textId="1A6E7CD7" w:rsidR="27A317F7" w:rsidRDefault="4FDAF455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78CE8D" w14:textId="731A641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1522E50" w14:textId="77777777" w:rsidTr="14DDCBFD">
        <w:trPr>
          <w:trHeight w:val="15"/>
        </w:trPr>
        <w:tc>
          <w:tcPr>
            <w:tcW w:w="938" w:type="dxa"/>
            <w:gridSpan w:val="2"/>
            <w:vMerge/>
            <w:vAlign w:val="center"/>
          </w:tcPr>
          <w:p w14:paraId="528C3304" w14:textId="77777777" w:rsidR="00BE536F" w:rsidRDefault="00BE536F"/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09AA71" w14:textId="04D7084C" w:rsidR="27A317F7" w:rsidRDefault="27A317F7" w:rsidP="27A317F7">
            <w:pPr>
              <w:spacing w:before="120" w:after="120"/>
            </w:pP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199348" w14:textId="6415DF98" w:rsidR="27A317F7" w:rsidRDefault="11D09420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E5C74A2" w14:textId="247CEC8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11338A6" w14:textId="77777777" w:rsidTr="14DDCBFD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F38A07F" w14:textId="18FFA00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DB02D08" w14:textId="70D7186F" w:rsidR="27A317F7" w:rsidRDefault="27A317F7" w:rsidP="27A317F7">
            <w:pPr>
              <w:spacing w:before="120" w:after="120"/>
            </w:pP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D31ABDE" w14:textId="2D90BDED" w:rsidR="27A317F7" w:rsidRDefault="2BFD9066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CBB6D01" w14:textId="7087143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DE7C57B" w14:textId="77777777" w:rsidTr="14DDCBFD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CC02E01" w14:textId="5FE20F6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761EDA" w14:textId="1769756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29) за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визначеної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потреби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вході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виході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до/з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будівлі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встановлено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план-схему,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сприятиме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самостійній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навігації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орієнтуванню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об’єкті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A903435" w14:textId="62BC4740" w:rsidR="27A317F7" w:rsidRDefault="339A0C59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так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26B486" w14:textId="0248EC2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C90C341" w14:textId="77777777" w:rsidTr="14DDCBFD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5D11672" w14:textId="44103FF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B87C9D0" w14:textId="31E2630F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30)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схема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виконана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візуально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/тактильно) форматах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F13069A" w14:textId="22B0A6F6" w:rsidR="27A317F7" w:rsidRDefault="0E4D6868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6EF8E64" w14:textId="5911BFD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3BDB866" w14:textId="77777777" w:rsidTr="14DDCBFD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99AE0DB" w14:textId="735C8A0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2D0FABF" w14:textId="4D3505A0" w:rsidR="27A317F7" w:rsidRDefault="27A317F7" w:rsidP="27A317F7">
            <w:pPr>
              <w:spacing w:before="120" w:after="120"/>
            </w:pP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74623F6" w14:textId="7CA60A03" w:rsidR="27A317F7" w:rsidRDefault="76D1001B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6BB847D" w14:textId="6B9C0B9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27000D71" w14:textId="77777777" w:rsidTr="14DDCBFD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88EB433" w14:textId="0EAF3CE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D669983" w14:textId="24C5D50C" w:rsidR="27A317F7" w:rsidRDefault="27A317F7" w:rsidP="27A317F7">
            <w:pPr>
              <w:spacing w:before="120" w:after="120"/>
            </w:pP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C782DCC" w14:textId="3BE580EC" w:rsidR="27A317F7" w:rsidRDefault="312583B7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E97C04C" w14:textId="561F3FE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BA9097E" w14:textId="77777777" w:rsidTr="14DDCBFD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487132B" w14:textId="6FF7ECD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6990A43" w14:textId="4E15FAC5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33) ширина шляху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коридорах,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приміщеннях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галереях на шляхах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чистоті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1,5 метра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під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одному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напрямку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C72D8F5" w14:textId="2C6F48AC" w:rsidR="27A317F7" w:rsidRDefault="52DA25F1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4A1B951" w14:textId="118B008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A035F8D" w14:textId="77777777" w:rsidTr="14DDCBFD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D0D95DD" w14:textId="5EFC0FA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BEAB984" w14:textId="018D3B6C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34) ширина шляху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коридорах,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приміщеннях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галереях на шляхах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чистоті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1,8 метра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зустрічного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руху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2767FE5" w14:textId="3FDFA12A" w:rsidR="27A317F7" w:rsidRDefault="7DB6BC41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1AAEFDF" w14:textId="2444976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A002C17" w14:textId="77777777" w:rsidTr="14DDCBFD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A735E4F" w14:textId="3D76847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FD96C0" w14:textId="10A75833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35) ширина проходу в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приміщенні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обладнанням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меблями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менш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як 1,2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F0B6889" w14:textId="0C5F9922" w:rsidR="27A317F7" w:rsidRDefault="7E3DE70D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</w:t>
            </w:r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824E04" w14:textId="59A9AB7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0B3731B7" w14:textId="77777777" w:rsidTr="14DDCBFD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5C3F888" w14:textId="134AAFB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26A1121" w14:textId="5561CA89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36)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висота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об’єктів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столи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стійкі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рецепція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), 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також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пристроїв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банкомати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термінали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тощо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повинна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становити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більше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0,9 метра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F681CFC" w14:textId="7B15BF37" w:rsidR="27A317F7" w:rsidRDefault="660F9BCB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B101DC6" w14:textId="5D6B1B9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6EEFC51F" w14:textId="77777777" w:rsidTr="14DDCBFD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EC4FD87" w14:textId="0949B6B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362BEF1" w14:textId="58D3A0FD" w:rsidR="27A317F7" w:rsidRDefault="27A317F7" w:rsidP="27A317F7">
            <w:pPr>
              <w:spacing w:before="120" w:after="120"/>
            </w:pP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C9007A" w14:textId="016DE7AC" w:rsidR="27A317F7" w:rsidRDefault="4AB6A8F1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0420E4C8" w14:textId="36839FD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351AB6D" w14:textId="77777777" w:rsidTr="14DDCBFD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BB49002" w14:textId="6B38DFA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D382C44" w14:textId="47888FE0" w:rsidR="27A317F7" w:rsidRDefault="27A317F7" w:rsidP="27A317F7">
            <w:pPr>
              <w:spacing w:before="120" w:after="120"/>
            </w:pP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3E3D178" w14:textId="2B05BECA" w:rsidR="27A317F7" w:rsidRDefault="39B73DE3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9EEB9F" w14:textId="310BDE8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744DAE93" w14:textId="77777777" w:rsidTr="14DDCBFD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17E5B80" w14:textId="1C07F69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70F08C" w14:textId="61BE02C0" w:rsidR="27A317F7" w:rsidRDefault="27A317F7" w:rsidP="27A317F7">
            <w:pPr>
              <w:spacing w:before="120" w:after="120"/>
            </w:pP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49ACF69" w14:textId="3D578470" w:rsidR="27A317F7" w:rsidRDefault="59927151" w:rsidP="27A317F7">
            <w:pPr>
              <w:spacing w:before="120" w:after="120"/>
              <w:jc w:val="center"/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ні</w:t>
            </w:r>
            <w:proofErr w:type="spellEnd"/>
            <w:r w:rsidR="051B8487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66C54E11" w14:textId="698657E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9AE4BDD" w14:textId="77777777" w:rsidTr="14DDCBFD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8E75EB3" w14:textId="5414D40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>4.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E892EA1" w14:textId="0D73A133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Безбар’єрність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7D35FC0" w14:textId="457E9B0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763D261" w14:textId="59E701C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907FA0A" w14:textId="77777777" w:rsidTr="14DDCBFD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3832B3" w14:textId="4FCA55B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F6037DA" w14:textId="15ED273D" w:rsidR="27A317F7" w:rsidRDefault="27A317F7" w:rsidP="27A317F7">
            <w:pPr>
              <w:spacing w:before="120" w:after="120"/>
            </w:pP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ISO</w:t>
            </w: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IEC</w:t>
            </w: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40500:2015 “Інформаційні технології.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Настанова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доступності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веб-контенту W3C (WCAG) 2.0” не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нижче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рівня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АА</w:t>
            </w:r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11BB28F" w14:textId="361B9A05" w:rsidR="27A317F7" w:rsidRDefault="64622D79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немає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16D136C" w14:textId="43A8AAD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583B8951" w14:textId="77777777" w:rsidTr="14DDCBFD">
        <w:trPr>
          <w:trHeight w:val="15"/>
        </w:trPr>
        <w:tc>
          <w:tcPr>
            <w:tcW w:w="938" w:type="dxa"/>
            <w:gridSpan w:val="2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5F4BC47" w14:textId="05AAD2D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6207" w:type="dxa"/>
            <w:gridSpan w:val="4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7FC99D3A" w14:textId="59C060C6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2) у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штаті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є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залучається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перекладач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жестову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укладено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угоду про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надання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перекладу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жестову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мову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юридичними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фізичними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особами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передплачено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надання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перекладу через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мобільні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додатки</w:t>
            </w:r>
            <w:proofErr w:type="spellEnd"/>
          </w:p>
        </w:tc>
        <w:tc>
          <w:tcPr>
            <w:tcW w:w="1779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13ADE80D" w14:textId="62D00B30" w:rsidR="27A317F7" w:rsidRDefault="051B8487" w:rsidP="14DDCBF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244EB460" w:rsidRPr="14DDC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немає</w:t>
            </w:r>
            <w:proofErr w:type="spellEnd"/>
          </w:p>
        </w:tc>
        <w:tc>
          <w:tcPr>
            <w:tcW w:w="1688" w:type="dxa"/>
            <w:gridSpan w:val="3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9C49165" w14:textId="3A9DB0D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39C6E7B2" w14:textId="77777777" w:rsidTr="006A102B">
        <w:trPr>
          <w:gridAfter w:val="1"/>
          <w:wAfter w:w="353" w:type="dxa"/>
          <w:trHeight w:val="15"/>
        </w:trPr>
        <w:tc>
          <w:tcPr>
            <w:tcW w:w="10259" w:type="dxa"/>
            <w:gridSpan w:val="11"/>
            <w:tcBorders>
              <w:left w:val="nil"/>
              <w:bottom w:val="single" w:sz="4" w:space="0" w:color="auto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EFC2EB" w14:textId="2E96D151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Серед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працюючих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кількість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</w:p>
        </w:tc>
      </w:tr>
      <w:tr w:rsidR="27A317F7" w14:paraId="4C07025C" w14:textId="77777777" w:rsidTr="006A102B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CA76F4D" w14:textId="5EE7F9C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10B19B7" w14:textId="235C0BE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FC13119" w14:textId="6DCEB4F3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5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BDC0EF4" w14:textId="19F8D3A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З них</w:t>
            </w:r>
          </w:p>
        </w:tc>
      </w:tr>
      <w:tr w:rsidR="27A317F7" w14:paraId="74184103" w14:textId="77777777" w:rsidTr="006A102B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1BA7" w14:textId="77777777" w:rsidR="00BE536F" w:rsidRDefault="00BE536F"/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8CF9" w14:textId="77777777" w:rsidR="00BE536F" w:rsidRDefault="00BE536F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14FD" w14:textId="77777777" w:rsidR="00BE536F" w:rsidRDefault="00BE536F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B220200" w14:textId="4EC2A296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пересуваються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кріслах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колісних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F1C6E23" w14:textId="4343C7A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зору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CE1BB4E" w14:textId="01666A3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слуху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DEA1063" w14:textId="42419A55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</w:t>
            </w:r>
            <w:proofErr w:type="spellEnd"/>
          </w:p>
        </w:tc>
      </w:tr>
      <w:tr w:rsidR="27A317F7" w14:paraId="7846A780" w14:textId="77777777" w:rsidTr="006A102B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932164A" w14:textId="283995F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F145431" w14:textId="298E9614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44D06E7" w14:textId="77B386C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C71A67C" w14:textId="09DDDF2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15010EE" w14:textId="5A00059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99A2128" w14:textId="38CDB10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702F772" w14:textId="039D2EF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27A317F7" w14:paraId="09425E0B" w14:textId="77777777" w:rsidTr="006A102B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8D5E9B5" w14:textId="7B79017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lastRenderedPageBreak/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473B2D" w14:textId="03F587D5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з них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чоловіки</w:t>
            </w:r>
          </w:p>
          <w:p w14:paraId="0A734D64" w14:textId="41F74347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них жінки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2B1FD06" w14:textId="1E19ECB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12D32D9" w14:textId="2C218ABF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66703FC" w14:textId="6D318AD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7709F3F2" w14:textId="09E313B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25AF2A" w14:textId="4DCE0CB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2D15024A" w14:textId="4C7E298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C49EF34" w14:textId="2BFA7410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8852632" w14:textId="343E2224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9C0A1F2" w14:textId="6ABAB42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30C6EA7D" w14:textId="0AD81B67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FA58BAA" w14:textId="77C09F9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27A317F7" w14:paraId="7AAB0E17" w14:textId="77777777" w:rsidTr="006A102B">
        <w:trPr>
          <w:gridAfter w:val="1"/>
          <w:wAfter w:w="353" w:type="dxa"/>
          <w:trHeight w:val="15"/>
        </w:trPr>
        <w:tc>
          <w:tcPr>
            <w:tcW w:w="10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0975AF2" w14:textId="5FC85B51" w:rsidR="27A317F7" w:rsidRDefault="27A317F7" w:rsidP="27A317F7">
            <w:pPr>
              <w:spacing w:before="120" w:after="120"/>
              <w:jc w:val="center"/>
            </w:pPr>
            <w:r w:rsidRPr="00B22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27A317F7" w14:paraId="54E5244E" w14:textId="77777777" w:rsidTr="006A102B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927D441" w14:textId="3997836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7EB9B3C" w14:textId="19E0BF5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C13145C" w14:textId="40E9ECA6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інвалідністю</w:t>
            </w:r>
            <w:proofErr w:type="spellEnd"/>
          </w:p>
        </w:tc>
        <w:tc>
          <w:tcPr>
            <w:tcW w:w="5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C682ABE" w14:textId="68FF5D0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"/>
              </w:rPr>
              <w:t>З них</w:t>
            </w:r>
          </w:p>
        </w:tc>
      </w:tr>
      <w:tr w:rsidR="27A317F7" w14:paraId="6142419E" w14:textId="77777777" w:rsidTr="006A102B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DBD5" w14:textId="77777777" w:rsidR="00BE536F" w:rsidRDefault="00BE536F"/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73A7" w14:textId="77777777" w:rsidR="00BE536F" w:rsidRDefault="00BE536F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880E" w14:textId="77777777" w:rsidR="00BE536F" w:rsidRDefault="00BE536F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84299BC" w14:textId="762D5A70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пересуваються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кріслах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колісних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6C6D2C8" w14:textId="7FF563C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зору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0DEF9C0" w14:textId="3F26838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порушенням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слуху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56C2705" w14:textId="11CBE7E9" w:rsidR="27A317F7" w:rsidRDefault="27A317F7" w:rsidP="27A317F7">
            <w:pPr>
              <w:spacing w:before="120" w:after="120"/>
              <w:jc w:val="center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мають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27A317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порушення</w:t>
            </w:r>
            <w:proofErr w:type="spellEnd"/>
          </w:p>
        </w:tc>
      </w:tr>
      <w:tr w:rsidR="27A317F7" w14:paraId="7A52809F" w14:textId="77777777" w:rsidTr="006A102B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9E70ADC" w14:textId="3AFDA05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04BA9DC" w14:textId="7147FE17" w:rsidR="27A317F7" w:rsidRDefault="27A317F7" w:rsidP="27A317F7">
            <w:pPr>
              <w:spacing w:before="120" w:after="120"/>
            </w:pPr>
            <w:proofErr w:type="spellStart"/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Усього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0F96AEF" w14:textId="6D626CB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ADA9C0B" w14:textId="7A86ECE1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B1E66D2" w14:textId="01735753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96C77EE" w14:textId="4AB2409E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B2AF474" w14:textId="3D80E416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27A317F7" w14:paraId="01ED7A36" w14:textId="77777777" w:rsidTr="006A102B">
        <w:trPr>
          <w:gridAfter w:val="1"/>
          <w:wAfter w:w="353" w:type="dxa"/>
          <w:trHeight w:val="15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585E6CF" w14:textId="103A6692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390F099" w14:textId="0877C669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з них </w:t>
            </w: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чоловіки</w:t>
            </w:r>
          </w:p>
          <w:p w14:paraId="520DC0B4" w14:textId="5F4B6E8D" w:rsidR="27A317F7" w:rsidRDefault="27A317F7" w:rsidP="27A317F7">
            <w:pPr>
              <w:spacing w:before="120" w:after="120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них жінки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F4BF038" w14:textId="63D6976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776DAC0" w14:textId="381B9F1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19A238B0" w14:textId="2590D08D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568C1A9B" w14:textId="3128BA75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206DFD4" w14:textId="3EB16AB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6C5CB73B" w14:textId="516DFC7A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CC906DB" w14:textId="7E9534EC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21CD826" w14:textId="4D07D3D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37D5A42" w14:textId="3E931298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758753F3" w14:textId="5CC85CBB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B7FA16C" w14:textId="53410E69" w:rsidR="27A317F7" w:rsidRDefault="27A317F7" w:rsidP="27A317F7">
            <w:pPr>
              <w:spacing w:before="120" w:after="120"/>
              <w:jc w:val="center"/>
            </w:pPr>
            <w:r w:rsidRPr="27A31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"/>
              </w:rPr>
              <w:t xml:space="preserve"> </w:t>
            </w:r>
          </w:p>
        </w:tc>
      </w:tr>
      <w:tr w:rsidR="27A317F7" w14:paraId="40559C78" w14:textId="77777777" w:rsidTr="006A102B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BD26A" w14:textId="63AF470A" w:rsidR="27A317F7" w:rsidRDefault="27A317F7"/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C063E8" w14:textId="0F197C3F" w:rsidR="27A317F7" w:rsidRDefault="27A317F7"/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39BBE" w14:textId="3D5FAE3F" w:rsidR="27A317F7" w:rsidRDefault="27A317F7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5F3866" w14:textId="6BFB43C8" w:rsidR="27A317F7" w:rsidRDefault="27A317F7"/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ACFA8F" w14:textId="369F6A35" w:rsidR="27A317F7" w:rsidRDefault="27A317F7"/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5B072E" w14:textId="4A1DD6D8" w:rsidR="27A317F7" w:rsidRDefault="27A317F7"/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E61EA6" w14:textId="4C4113AA" w:rsidR="27A317F7" w:rsidRDefault="27A317F7"/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C103BA" w14:textId="1533190C" w:rsidR="27A317F7" w:rsidRDefault="27A317F7"/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BF988D" w14:textId="53D86600" w:rsidR="27A317F7" w:rsidRDefault="27A317F7"/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FCDFE5" w14:textId="35130028" w:rsidR="27A317F7" w:rsidRDefault="27A317F7"/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CDB527" w14:textId="4895FEDC" w:rsidR="27A317F7" w:rsidRDefault="27A317F7"/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269E1" w14:textId="4D409CEB" w:rsidR="27A317F7" w:rsidRDefault="27A317F7"/>
        </w:tc>
      </w:tr>
    </w:tbl>
    <w:p w14:paraId="32B51084" w14:textId="1F7D2747" w:rsidR="006A102B" w:rsidRDefault="090388C2" w:rsidP="00C80854">
      <w:pPr>
        <w:spacing w:before="120" w:after="120"/>
        <w:rPr>
          <w:rFonts w:ascii="Times New Roman" w:eastAsia="Times New Roman" w:hAnsi="Times New Roman" w:cs="Times New Roman"/>
          <w:sz w:val="20"/>
          <w:szCs w:val="20"/>
        </w:rPr>
      </w:pPr>
      <w:r w:rsidRPr="00C80854">
        <w:rPr>
          <w:rFonts w:ascii="Times New Roman" w:eastAsia="Times New Roman" w:hAnsi="Times New Roman" w:cs="Times New Roman"/>
          <w:sz w:val="24"/>
          <w:szCs w:val="24"/>
        </w:rPr>
        <w:t>Підсумки ______</w:t>
      </w:r>
      <w:proofErr w:type="spellStart"/>
      <w:r w:rsidR="396A8888" w:rsidRPr="00C80854">
        <w:rPr>
          <w:rFonts w:ascii="Times New Roman" w:eastAsia="Times New Roman" w:hAnsi="Times New Roman" w:cs="Times New Roman"/>
          <w:sz w:val="24"/>
          <w:szCs w:val="24"/>
        </w:rPr>
        <w:t>Обєкт</w:t>
      </w:r>
      <w:proofErr w:type="spellEnd"/>
      <w:r w:rsidR="396A8888" w:rsidRPr="00C80854">
        <w:rPr>
          <w:rFonts w:ascii="Times New Roman" w:eastAsia="Times New Roman" w:hAnsi="Times New Roman" w:cs="Times New Roman"/>
          <w:sz w:val="24"/>
          <w:szCs w:val="24"/>
        </w:rPr>
        <w:t xml:space="preserve"> є бар</w:t>
      </w:r>
      <w:r w:rsidR="006A102B">
        <w:rPr>
          <w:rFonts w:ascii="Times New Roman" w:eastAsia="Times New Roman" w:hAnsi="Times New Roman" w:cs="Times New Roman"/>
          <w:sz w:val="24"/>
          <w:szCs w:val="24"/>
        </w:rPr>
        <w:t>’</w:t>
      </w:r>
      <w:bookmarkStart w:id="0" w:name="_GoBack"/>
      <w:bookmarkEnd w:id="0"/>
      <w:r w:rsidR="396A8888" w:rsidRPr="00C80854">
        <w:rPr>
          <w:rFonts w:ascii="Times New Roman" w:eastAsia="Times New Roman" w:hAnsi="Times New Roman" w:cs="Times New Roman"/>
          <w:sz w:val="24"/>
          <w:szCs w:val="24"/>
        </w:rPr>
        <w:t>єрним</w:t>
      </w:r>
      <w:r w:rsidR="00C80854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C80854">
        <w:rPr>
          <w:rFonts w:ascii="Times New Roman" w:eastAsia="Times New Roman" w:hAnsi="Times New Roman" w:cs="Times New Roman"/>
          <w:sz w:val="24"/>
          <w:szCs w:val="24"/>
        </w:rPr>
        <w:t>*</w:t>
      </w:r>
      <w:r w:rsidR="1B58F50F">
        <w:br/>
      </w:r>
    </w:p>
    <w:p w14:paraId="5DB4547F" w14:textId="0CE4704E" w:rsidR="1B58F50F" w:rsidRDefault="1B58F50F" w:rsidP="00C80854">
      <w:pPr>
        <w:spacing w:before="120" w:after="120"/>
      </w:pPr>
      <w:r w:rsidRPr="00C80854">
        <w:rPr>
          <w:rFonts w:ascii="Times New Roman" w:eastAsia="Times New Roman" w:hAnsi="Times New Roman" w:cs="Times New Roman"/>
          <w:sz w:val="20"/>
          <w:szCs w:val="20"/>
        </w:rPr>
        <w:t>*обов’язково для заповнення, зазначається:</w:t>
      </w:r>
      <w:r w:rsidRPr="00C80854">
        <w:br/>
      </w:r>
      <w:r w:rsidRPr="00C8085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об’єкт є </w:t>
      </w:r>
      <w:proofErr w:type="spellStart"/>
      <w:r w:rsidRPr="00C80854">
        <w:rPr>
          <w:rFonts w:ascii="Times New Roman" w:eastAsia="Times New Roman" w:hAnsi="Times New Roman" w:cs="Times New Roman"/>
          <w:b/>
          <w:bCs/>
          <w:sz w:val="20"/>
          <w:szCs w:val="20"/>
        </w:rPr>
        <w:t>безбар’єрним</w:t>
      </w:r>
      <w:proofErr w:type="spellEnd"/>
      <w:r w:rsidRPr="00C80854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br/>
      </w:r>
      <w:r w:rsidRPr="00C808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085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об’єкт має часткову </w:t>
      </w:r>
      <w:proofErr w:type="spellStart"/>
      <w:r w:rsidRPr="00C80854">
        <w:rPr>
          <w:rFonts w:ascii="Times New Roman" w:eastAsia="Times New Roman" w:hAnsi="Times New Roman" w:cs="Times New Roman"/>
          <w:b/>
          <w:bCs/>
          <w:sz w:val="20"/>
          <w:szCs w:val="20"/>
        </w:rPr>
        <w:t>безбар’єрність</w:t>
      </w:r>
      <w:proofErr w:type="spellEnd"/>
      <w:r w:rsidRPr="00C80854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</w:t>
      </w:r>
    </w:p>
    <w:p w14:paraId="13DFCDC9" w14:textId="0BE137F1" w:rsidR="1B58F50F" w:rsidRDefault="1B58F50F" w:rsidP="27A317F7">
      <w:pPr>
        <w:pStyle w:val="a3"/>
      </w:pPr>
      <w:r w:rsidRPr="00C80854">
        <w:rPr>
          <w:rFonts w:ascii="Times New Roman" w:eastAsia="Times New Roman" w:hAnsi="Times New Roman" w:cs="Times New Roman"/>
          <w:b/>
          <w:bCs/>
          <w:sz w:val="20"/>
          <w:szCs w:val="20"/>
        </w:rPr>
        <w:t>об’єкт є бар’єрним</w:t>
      </w:r>
      <w:r w:rsidRPr="00C80854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27A317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всі інші об’єкти, крім тих, що належать до першого та другого рівня.</w:t>
      </w:r>
    </w:p>
    <w:p w14:paraId="7C908902" w14:textId="77777777" w:rsidR="00C80854" w:rsidRDefault="00C80854" w:rsidP="14DDCBFD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52D9E4C" w14:textId="0110A38D" w:rsidR="1B58F50F" w:rsidRDefault="090388C2" w:rsidP="14DDCBFD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14DDC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Управитель </w:t>
      </w:r>
      <w:proofErr w:type="spellStart"/>
      <w:r w:rsidRPr="14DDC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об’єкта</w:t>
      </w:r>
      <w:proofErr w:type="spellEnd"/>
      <w:r w:rsidRPr="14DDC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_____________________</w:t>
      </w:r>
      <w:r w:rsidR="00B22E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Стрельченко Н.М.</w:t>
      </w:r>
    </w:p>
    <w:p w14:paraId="7F58C7FA" w14:textId="6218C694" w:rsidR="1B58F50F" w:rsidRDefault="090388C2" w:rsidP="27A317F7">
      <w:pPr>
        <w:spacing w:before="120" w:after="120"/>
      </w:pPr>
      <w:r w:rsidRPr="14DDC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“_</w:t>
      </w:r>
      <w:r w:rsidR="1830B5C1" w:rsidRPr="14DDC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CB7410C" w:rsidRPr="14DDC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r w:rsidRPr="14DDC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__” ___</w:t>
      </w:r>
      <w:r w:rsidR="20672560" w:rsidRPr="14DDC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0</w:t>
      </w:r>
      <w:r w:rsidR="07623182" w:rsidRPr="14DDC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Pr="14DDC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____________ 20</w:t>
      </w:r>
      <w:r w:rsidRPr="14DDCB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</w:t>
      </w:r>
      <w:r w:rsidRPr="14DDCB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р.</w:t>
      </w:r>
    </w:p>
    <w:p w14:paraId="2C5D3504" w14:textId="10BF3FC0" w:rsidR="27A317F7" w:rsidRDefault="27A317F7" w:rsidP="27A317F7">
      <w:pPr>
        <w:pStyle w:val="st7"/>
        <w:rPr>
          <w:rStyle w:val="st42"/>
        </w:rPr>
      </w:pPr>
    </w:p>
    <w:sectPr w:rsidR="27A317F7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1A388D"/>
    <w:rsid w:val="001E504D"/>
    <w:rsid w:val="002E54A1"/>
    <w:rsid w:val="00400674"/>
    <w:rsid w:val="00414E52"/>
    <w:rsid w:val="00472B7D"/>
    <w:rsid w:val="00492259"/>
    <w:rsid w:val="004D02AA"/>
    <w:rsid w:val="004D5CB6"/>
    <w:rsid w:val="006A102B"/>
    <w:rsid w:val="006E6537"/>
    <w:rsid w:val="007C18BE"/>
    <w:rsid w:val="0086F6F5"/>
    <w:rsid w:val="008915DE"/>
    <w:rsid w:val="008E2EB3"/>
    <w:rsid w:val="009403ED"/>
    <w:rsid w:val="00A1ADB3"/>
    <w:rsid w:val="00A26BE9"/>
    <w:rsid w:val="00A6009F"/>
    <w:rsid w:val="00AB1DD6"/>
    <w:rsid w:val="00AC7AFF"/>
    <w:rsid w:val="00AE5600"/>
    <w:rsid w:val="00B22EDC"/>
    <w:rsid w:val="00BA17E6"/>
    <w:rsid w:val="00BC1FE9"/>
    <w:rsid w:val="00BE0ABD"/>
    <w:rsid w:val="00BE536F"/>
    <w:rsid w:val="00C60A2E"/>
    <w:rsid w:val="00C62E00"/>
    <w:rsid w:val="00C80854"/>
    <w:rsid w:val="00C9712C"/>
    <w:rsid w:val="00CD7B32"/>
    <w:rsid w:val="00DD40AD"/>
    <w:rsid w:val="00E208D3"/>
    <w:rsid w:val="00E67A3D"/>
    <w:rsid w:val="00F361BC"/>
    <w:rsid w:val="00F4091D"/>
    <w:rsid w:val="00F5298D"/>
    <w:rsid w:val="00F75DDD"/>
    <w:rsid w:val="01212489"/>
    <w:rsid w:val="02323D58"/>
    <w:rsid w:val="051B8487"/>
    <w:rsid w:val="067FE142"/>
    <w:rsid w:val="06D1A45C"/>
    <w:rsid w:val="07623182"/>
    <w:rsid w:val="08DD952C"/>
    <w:rsid w:val="090388C2"/>
    <w:rsid w:val="092FFA74"/>
    <w:rsid w:val="0996B4D4"/>
    <w:rsid w:val="0AAD5011"/>
    <w:rsid w:val="0B38E4DD"/>
    <w:rsid w:val="0BE45DBF"/>
    <w:rsid w:val="0C7E2EB4"/>
    <w:rsid w:val="0CB7410C"/>
    <w:rsid w:val="0D296DFA"/>
    <w:rsid w:val="0D39D370"/>
    <w:rsid w:val="0D98D84D"/>
    <w:rsid w:val="0DD2AE9C"/>
    <w:rsid w:val="0E4D6868"/>
    <w:rsid w:val="0F9F286B"/>
    <w:rsid w:val="102B0ABB"/>
    <w:rsid w:val="112FD0C1"/>
    <w:rsid w:val="11D09420"/>
    <w:rsid w:val="124CAB54"/>
    <w:rsid w:val="137B84CA"/>
    <w:rsid w:val="13F5E4C2"/>
    <w:rsid w:val="1462DE8D"/>
    <w:rsid w:val="14DDCBFD"/>
    <w:rsid w:val="1530680E"/>
    <w:rsid w:val="172CD2F4"/>
    <w:rsid w:val="1830B5C1"/>
    <w:rsid w:val="1841C850"/>
    <w:rsid w:val="1891A78F"/>
    <w:rsid w:val="18FCDEB8"/>
    <w:rsid w:val="19366DF2"/>
    <w:rsid w:val="19919C1E"/>
    <w:rsid w:val="1ABD25CC"/>
    <w:rsid w:val="1B17F47D"/>
    <w:rsid w:val="1B58F50F"/>
    <w:rsid w:val="1C13FFA0"/>
    <w:rsid w:val="1DE516D1"/>
    <w:rsid w:val="1E91B798"/>
    <w:rsid w:val="1EF51E8F"/>
    <w:rsid w:val="1F3BA537"/>
    <w:rsid w:val="20672560"/>
    <w:rsid w:val="23340223"/>
    <w:rsid w:val="23538149"/>
    <w:rsid w:val="23A09618"/>
    <w:rsid w:val="2405746B"/>
    <w:rsid w:val="244EB460"/>
    <w:rsid w:val="24F9EF81"/>
    <w:rsid w:val="264CDC37"/>
    <w:rsid w:val="264D9A4E"/>
    <w:rsid w:val="27A317F7"/>
    <w:rsid w:val="27E3696C"/>
    <w:rsid w:val="280CAD87"/>
    <w:rsid w:val="2822DEF3"/>
    <w:rsid w:val="286C72F9"/>
    <w:rsid w:val="28D40194"/>
    <w:rsid w:val="2974A047"/>
    <w:rsid w:val="29CACB69"/>
    <w:rsid w:val="2A596EE5"/>
    <w:rsid w:val="2A9ABCE1"/>
    <w:rsid w:val="2B6C3528"/>
    <w:rsid w:val="2BF808C0"/>
    <w:rsid w:val="2BFD9066"/>
    <w:rsid w:val="2C107E99"/>
    <w:rsid w:val="2C3E871E"/>
    <w:rsid w:val="2E50CF01"/>
    <w:rsid w:val="2EA726EE"/>
    <w:rsid w:val="3012259A"/>
    <w:rsid w:val="3012D5D6"/>
    <w:rsid w:val="312583B7"/>
    <w:rsid w:val="31A82CBA"/>
    <w:rsid w:val="32A15C82"/>
    <w:rsid w:val="330CE197"/>
    <w:rsid w:val="336D51AB"/>
    <w:rsid w:val="339A0C59"/>
    <w:rsid w:val="34F24B06"/>
    <w:rsid w:val="35A6303B"/>
    <w:rsid w:val="3750FC84"/>
    <w:rsid w:val="375B2E68"/>
    <w:rsid w:val="37A9C8CE"/>
    <w:rsid w:val="38CFE9AF"/>
    <w:rsid w:val="3924D211"/>
    <w:rsid w:val="39488B88"/>
    <w:rsid w:val="396A8888"/>
    <w:rsid w:val="39B73DE3"/>
    <w:rsid w:val="3B5C15A5"/>
    <w:rsid w:val="3BDA4887"/>
    <w:rsid w:val="3CBD0FF9"/>
    <w:rsid w:val="3D4FE7B9"/>
    <w:rsid w:val="3F1181A9"/>
    <w:rsid w:val="3F7B839E"/>
    <w:rsid w:val="3FF1B1B0"/>
    <w:rsid w:val="40239C5A"/>
    <w:rsid w:val="40AEFB85"/>
    <w:rsid w:val="41A41742"/>
    <w:rsid w:val="4364584A"/>
    <w:rsid w:val="43A1BB1E"/>
    <w:rsid w:val="43DDD558"/>
    <w:rsid w:val="43F450A0"/>
    <w:rsid w:val="4403B8F7"/>
    <w:rsid w:val="44603405"/>
    <w:rsid w:val="446FBA53"/>
    <w:rsid w:val="44D18B75"/>
    <w:rsid w:val="4615CB3F"/>
    <w:rsid w:val="469FF659"/>
    <w:rsid w:val="46D1BEBD"/>
    <w:rsid w:val="47AB1E11"/>
    <w:rsid w:val="484BB164"/>
    <w:rsid w:val="48AA3338"/>
    <w:rsid w:val="4AB6A8F1"/>
    <w:rsid w:val="4AD3D4FF"/>
    <w:rsid w:val="4AE98BD2"/>
    <w:rsid w:val="4B25CCE0"/>
    <w:rsid w:val="4B2D90D4"/>
    <w:rsid w:val="4B3C86DE"/>
    <w:rsid w:val="4DCF2564"/>
    <w:rsid w:val="4E23A441"/>
    <w:rsid w:val="4E2DEBC4"/>
    <w:rsid w:val="4F38A8EF"/>
    <w:rsid w:val="4F614004"/>
    <w:rsid w:val="4FDAF455"/>
    <w:rsid w:val="5116EA4B"/>
    <w:rsid w:val="516D985D"/>
    <w:rsid w:val="523A20FD"/>
    <w:rsid w:val="52BCD186"/>
    <w:rsid w:val="52DA25F1"/>
    <w:rsid w:val="52DAC014"/>
    <w:rsid w:val="530102F2"/>
    <w:rsid w:val="53122DC7"/>
    <w:rsid w:val="53716357"/>
    <w:rsid w:val="55A2C20A"/>
    <w:rsid w:val="55B3B168"/>
    <w:rsid w:val="561AC7C7"/>
    <w:rsid w:val="58C783BF"/>
    <w:rsid w:val="59927151"/>
    <w:rsid w:val="5AAF7A8B"/>
    <w:rsid w:val="5D85032D"/>
    <w:rsid w:val="601A12E8"/>
    <w:rsid w:val="60C40A15"/>
    <w:rsid w:val="612161DC"/>
    <w:rsid w:val="622A5A88"/>
    <w:rsid w:val="62423D2E"/>
    <w:rsid w:val="64622D79"/>
    <w:rsid w:val="646BC354"/>
    <w:rsid w:val="647E63EA"/>
    <w:rsid w:val="660F9BCB"/>
    <w:rsid w:val="663F2A69"/>
    <w:rsid w:val="66A24321"/>
    <w:rsid w:val="66CAB63C"/>
    <w:rsid w:val="6766D11D"/>
    <w:rsid w:val="68D608F3"/>
    <w:rsid w:val="696FD45D"/>
    <w:rsid w:val="69A590D9"/>
    <w:rsid w:val="6A0AE09F"/>
    <w:rsid w:val="6BD47100"/>
    <w:rsid w:val="6BE98DD3"/>
    <w:rsid w:val="6C4FA3F6"/>
    <w:rsid w:val="6D7498AD"/>
    <w:rsid w:val="6DFE33DE"/>
    <w:rsid w:val="6F57A9E3"/>
    <w:rsid w:val="6FDD7592"/>
    <w:rsid w:val="718D14F5"/>
    <w:rsid w:val="71D2AA8C"/>
    <w:rsid w:val="71E6A19E"/>
    <w:rsid w:val="720C80C2"/>
    <w:rsid w:val="734628E7"/>
    <w:rsid w:val="73597B1D"/>
    <w:rsid w:val="74029CD4"/>
    <w:rsid w:val="74467885"/>
    <w:rsid w:val="744D61FA"/>
    <w:rsid w:val="76D1001B"/>
    <w:rsid w:val="76DB9367"/>
    <w:rsid w:val="77B44008"/>
    <w:rsid w:val="786DF039"/>
    <w:rsid w:val="78CB2DCD"/>
    <w:rsid w:val="790C6EBA"/>
    <w:rsid w:val="79D6037F"/>
    <w:rsid w:val="7C739963"/>
    <w:rsid w:val="7DB6BC41"/>
    <w:rsid w:val="7DD2EADB"/>
    <w:rsid w:val="7E3DE70D"/>
    <w:rsid w:val="7FF49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  <w15:docId w15:val="{80820144-C70D-42E9-89D0-CD56A92C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8928</Words>
  <Characters>5089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Олександр Дворський</cp:lastModifiedBy>
  <cp:revision>8</cp:revision>
  <cp:lastPrinted>2023-07-26T19:25:00Z</cp:lastPrinted>
  <dcterms:created xsi:type="dcterms:W3CDTF">2024-08-19T18:36:00Z</dcterms:created>
  <dcterms:modified xsi:type="dcterms:W3CDTF">2024-08-28T12:53:00Z</dcterms:modified>
</cp:coreProperties>
</file>