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D4" w:rsidRPr="00EC7F6E" w:rsidRDefault="003853D4" w:rsidP="003853D4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 w:rsidRPr="00EC7F6E">
        <w:rPr>
          <w:rFonts w:eastAsia="Times New Roman"/>
          <w:color w:val="000000"/>
          <w:lang w:val="uk-UA" w:eastAsia="uk-UA"/>
        </w:rPr>
        <w:t>Додаток 1 до Порядку</w:t>
      </w:r>
    </w:p>
    <w:p w:rsidR="003853D4" w:rsidRPr="00EC7F6E" w:rsidRDefault="003853D4" w:rsidP="003853D4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 w:rsidRPr="00EC7F6E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 w:rsidRPr="00EC7F6E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EC7F6E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EC7F6E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9"/>
        <w:gridCol w:w="6968"/>
        <w:gridCol w:w="2440"/>
      </w:tblGrid>
      <w:tr w:rsidR="003853D4" w:rsidRPr="003853D4" w:rsidTr="00010BAF">
        <w:trPr>
          <w:tblCellSpacing w:w="0" w:type="dxa"/>
        </w:trPr>
        <w:tc>
          <w:tcPr>
            <w:tcW w:w="16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Загальна інформація про об’єкт</w:t>
            </w:r>
          </w:p>
          <w:p w:rsidR="003853D4" w:rsidRPr="00EC7F6E" w:rsidRDefault="00CF40DE" w:rsidP="00CF40D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 xml:space="preserve">Об’єкт: </w:t>
            </w:r>
            <w:r w:rsidRPr="00CF40DE">
              <w:rPr>
                <w:rFonts w:eastAsia="Times New Roman"/>
                <w:b/>
                <w:lang w:val="uk-UA" w:eastAsia="uk-UA"/>
              </w:rPr>
              <w:t>Укриття -</w:t>
            </w:r>
            <w:r>
              <w:rPr>
                <w:rFonts w:eastAsia="Times New Roman"/>
                <w:lang w:val="uk-UA" w:eastAsia="uk-UA"/>
              </w:rPr>
              <w:t xml:space="preserve"> </w:t>
            </w:r>
            <w:r w:rsidR="003853D4" w:rsidRPr="003853D4">
              <w:rPr>
                <w:rFonts w:eastAsia="Times New Roman"/>
                <w:lang w:val="uk-UA" w:eastAsia="uk-UA"/>
              </w:rPr>
              <w:t>Дошкільний навчальний заклад (ясла-садок) №387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Дата проведення обстеження </w:t>
            </w:r>
            <w:bookmarkStart w:id="0" w:name="_GoBack"/>
            <w:bookmarkEnd w:id="0"/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E36A38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20</w:t>
            </w:r>
            <w:r w:rsidR="003853D4" w:rsidRPr="00EC7F6E">
              <w:rPr>
                <w:rFonts w:eastAsia="Times New Roman"/>
                <w:color w:val="000000"/>
                <w:lang w:val="uk-UA" w:eastAsia="uk-UA"/>
              </w:rPr>
              <w:t>.0</w:t>
            </w:r>
            <w:r w:rsidR="00DE0F09" w:rsidRPr="00EC7F6E">
              <w:rPr>
                <w:rFonts w:eastAsia="Times New Roman"/>
                <w:color w:val="000000"/>
                <w:lang w:val="uk-UA" w:eastAsia="uk-UA"/>
              </w:rPr>
              <w:t>8</w:t>
            </w:r>
            <w:r w:rsidR="003853D4" w:rsidRPr="00EC7F6E">
              <w:rPr>
                <w:rFonts w:eastAsia="Times New Roman"/>
                <w:color w:val="000000"/>
                <w:lang w:val="uk-UA" w:eastAsia="uk-UA"/>
              </w:rPr>
              <w:t>.2024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Адреса розташування об’єкта 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EC7F6E">
              <w:rPr>
                <w:rFonts w:eastAsia="Times New Roman"/>
                <w:color w:val="000000"/>
                <w:lang w:val="uk-UA" w:eastAsia="uk-UA"/>
              </w:rPr>
              <w:t>Щербаківського</w:t>
            </w:r>
            <w:proofErr w:type="spellEnd"/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 Данила, 60-А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3.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Форма власності 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комунальна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Найменування послуги 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E36A38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освітня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 xml:space="preserve">Особа, яка проводила обстеження 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Адаменко Оксана Дмитрівна</w:t>
            </w:r>
          </w:p>
        </w:tc>
      </w:tr>
      <w:tr w:rsidR="003853D4" w:rsidRPr="003853D4" w:rsidTr="00010BAF">
        <w:tblPrEx>
          <w:tblCellSpacing w:w="-6" w:type="dxa"/>
        </w:tblPrEx>
        <w:trPr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6.</w:t>
            </w:r>
          </w:p>
        </w:tc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400-30-39</w:t>
            </w:r>
          </w:p>
          <w:p w:rsidR="003853D4" w:rsidRPr="00EC7F6E" w:rsidRDefault="003853D4" w:rsidP="003853D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dnz_387@ukr.net</w:t>
            </w:r>
          </w:p>
        </w:tc>
      </w:tr>
    </w:tbl>
    <w:p w:rsidR="003D4CFF" w:rsidRPr="00EC7F6E" w:rsidRDefault="003D4CFF">
      <w:pPr>
        <w:rPr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559"/>
      </w:tblGrid>
      <w:tr w:rsidR="008C62CD" w:rsidRPr="00EC7F6E" w:rsidTr="00CE743E">
        <w:tc>
          <w:tcPr>
            <w:tcW w:w="6487" w:type="dxa"/>
            <w:gridSpan w:val="2"/>
            <w:vAlign w:val="center"/>
          </w:tcPr>
          <w:p w:rsidR="008C62CD" w:rsidRPr="00EC7F6E" w:rsidRDefault="008C62CD" w:rsidP="008C62CD">
            <w:pPr>
              <w:jc w:val="center"/>
              <w:rPr>
                <w:lang w:val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Критерії </w:t>
            </w:r>
            <w:proofErr w:type="spellStart"/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безбар’єрності</w:t>
            </w:r>
            <w:proofErr w:type="spellEnd"/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1701" w:type="dxa"/>
            <w:vAlign w:val="center"/>
          </w:tcPr>
          <w:p w:rsidR="008C62CD" w:rsidRPr="00EC7F6E" w:rsidRDefault="008C62CD" w:rsidP="00010BAF">
            <w:pPr>
              <w:pStyle w:val="st12"/>
              <w:rPr>
                <w:rStyle w:val="st44"/>
                <w:lang w:val="uk-UA"/>
              </w:rPr>
            </w:pPr>
            <w:r w:rsidRPr="00EC7F6E">
              <w:rPr>
                <w:rStyle w:val="st44"/>
                <w:lang w:val="uk-UA"/>
              </w:rPr>
              <w:t xml:space="preserve">Відповідність критеріям </w:t>
            </w:r>
          </w:p>
          <w:p w:rsidR="008C62CD" w:rsidRPr="00EC7F6E" w:rsidRDefault="008C62CD" w:rsidP="00010BAF">
            <w:pPr>
              <w:pStyle w:val="st12"/>
              <w:rPr>
                <w:rStyle w:val="st44"/>
                <w:lang w:val="uk-UA"/>
              </w:rPr>
            </w:pPr>
            <w:r w:rsidRPr="00EC7F6E">
              <w:rPr>
                <w:rStyle w:val="st44"/>
                <w:lang w:val="uk-UA"/>
              </w:rPr>
              <w:t>(так або ні)</w:t>
            </w:r>
          </w:p>
        </w:tc>
        <w:tc>
          <w:tcPr>
            <w:tcW w:w="1559" w:type="dxa"/>
            <w:vAlign w:val="center"/>
          </w:tcPr>
          <w:p w:rsidR="008C62CD" w:rsidRPr="00EC7F6E" w:rsidRDefault="008C62CD" w:rsidP="00010BAF">
            <w:pPr>
              <w:pStyle w:val="st12"/>
              <w:rPr>
                <w:rStyle w:val="st44"/>
                <w:lang w:val="uk-UA"/>
              </w:rPr>
            </w:pPr>
            <w:r w:rsidRPr="00EC7F6E">
              <w:rPr>
                <w:rStyle w:val="st44"/>
                <w:lang w:val="uk-UA"/>
              </w:rPr>
              <w:t>Примітки</w:t>
            </w:r>
          </w:p>
        </w:tc>
      </w:tr>
      <w:tr w:rsidR="008C62CD" w:rsidRPr="00EC7F6E" w:rsidTr="00CE743E">
        <w:tc>
          <w:tcPr>
            <w:tcW w:w="675" w:type="dxa"/>
            <w:vMerge w:val="restart"/>
          </w:tcPr>
          <w:p w:rsidR="008C62CD" w:rsidRPr="00EC7F6E" w:rsidRDefault="008C62CD">
            <w:pPr>
              <w:rPr>
                <w:b/>
                <w:lang w:val="uk-UA"/>
              </w:rPr>
            </w:pPr>
            <w:r w:rsidRPr="00EC7F6E">
              <w:rPr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:rsidR="008C62CD" w:rsidRPr="00EC7F6E" w:rsidRDefault="008C62CD" w:rsidP="008C62CD">
            <w:pPr>
              <w:pStyle w:val="st14"/>
              <w:spacing w:before="0" w:after="0"/>
              <w:rPr>
                <w:rStyle w:val="st42"/>
                <w:b/>
                <w:lang w:val="uk-UA"/>
              </w:rPr>
            </w:pPr>
            <w:r w:rsidRPr="00EC7F6E">
              <w:rPr>
                <w:rStyle w:val="st42"/>
                <w:b/>
                <w:lang w:val="uk-UA"/>
              </w:rPr>
              <w:t>Шляхи руху до будівлі: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EC7F6E">
              <w:rPr>
                <w:rStyle w:val="st42"/>
                <w:lang w:val="uk-UA"/>
              </w:rPr>
              <w:t>перевозять</w:t>
            </w:r>
            <w:proofErr w:type="spellEnd"/>
            <w:r w:rsidRPr="00EC7F6E">
              <w:rPr>
                <w:rStyle w:val="st42"/>
                <w:lang w:val="uk-UA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r w:rsidRPr="00EC7F6E">
              <w:rPr>
                <w:rStyle w:val="st42"/>
                <w:lang w:val="uk-UA"/>
              </w:rPr>
              <w:lastRenderedPageBreak/>
              <w:t xml:space="preserve">покриття насипних або </w:t>
            </w:r>
            <w:proofErr w:type="spellStart"/>
            <w:r w:rsidRPr="00EC7F6E">
              <w:rPr>
                <w:rStyle w:val="st42"/>
                <w:lang w:val="uk-UA"/>
              </w:rPr>
              <w:t>крупноструктурних</w:t>
            </w:r>
            <w:proofErr w:type="spellEnd"/>
            <w:r w:rsidRPr="00EC7F6E">
              <w:rPr>
                <w:rStyle w:val="st42"/>
                <w:lang w:val="uk-UA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lastRenderedPageBreak/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EC7F6E">
              <w:rPr>
                <w:rStyle w:val="st42"/>
                <w:lang w:val="uk-UA"/>
              </w:rPr>
              <w:t>продубльовані</w:t>
            </w:r>
            <w:proofErr w:type="spellEnd"/>
            <w:r w:rsidRPr="00EC7F6E">
              <w:rPr>
                <w:rStyle w:val="st42"/>
                <w:lang w:val="uk-UA"/>
              </w:rPr>
              <w:t xml:space="preserve"> пандусом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1" w:type="dxa"/>
          </w:tcPr>
          <w:p w:rsidR="008C62CD" w:rsidRPr="00EC7F6E" w:rsidRDefault="008C62CD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985D3B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відсутній</w:t>
            </w: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1" w:type="dxa"/>
          </w:tcPr>
          <w:p w:rsidR="008C62CD" w:rsidRPr="00EC7F6E" w:rsidRDefault="00985D3B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01" w:type="dxa"/>
          </w:tcPr>
          <w:p w:rsidR="008C62CD" w:rsidRPr="00EC7F6E" w:rsidRDefault="00985D3B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8C62CD" w:rsidRPr="00EC7F6E" w:rsidTr="00CE743E">
        <w:tc>
          <w:tcPr>
            <w:tcW w:w="675" w:type="dxa"/>
            <w:vMerge/>
          </w:tcPr>
          <w:p w:rsidR="008C62CD" w:rsidRPr="00EC7F6E" w:rsidRDefault="008C62CD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8C62CD" w:rsidRPr="00EC7F6E" w:rsidRDefault="008C62CD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701" w:type="dxa"/>
          </w:tcPr>
          <w:p w:rsidR="008C62CD" w:rsidRPr="00EC7F6E" w:rsidRDefault="00985D3B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8C62CD" w:rsidRPr="00EC7F6E" w:rsidRDefault="008C62CD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 w:val="restart"/>
          </w:tcPr>
          <w:p w:rsidR="00CD6F7F" w:rsidRPr="00EC7F6E" w:rsidRDefault="00CD6F7F">
            <w:pPr>
              <w:rPr>
                <w:b/>
                <w:lang w:val="uk-UA"/>
              </w:rPr>
            </w:pPr>
            <w:r w:rsidRPr="00EC7F6E">
              <w:rPr>
                <w:b/>
                <w:lang w:val="uk-UA"/>
              </w:rPr>
              <w:t>2</w:t>
            </w: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b/>
                <w:lang w:val="uk-UA"/>
              </w:rPr>
            </w:pPr>
            <w:r w:rsidRPr="00EC7F6E">
              <w:rPr>
                <w:rStyle w:val="st42"/>
                <w:b/>
                <w:lang w:val="uk-UA"/>
              </w:rPr>
              <w:t>Вхідна група: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EC7F6E">
              <w:rPr>
                <w:rStyle w:val="st42"/>
                <w:lang w:val="uk-UA"/>
              </w:rPr>
              <w:t>тактильно</w:t>
            </w:r>
            <w:proofErr w:type="spellEnd"/>
            <w:r w:rsidRPr="00EC7F6E">
              <w:rPr>
                <w:rStyle w:val="st42"/>
                <w:lang w:val="uk-UA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EC7F6E">
              <w:rPr>
                <w:rStyle w:val="st42"/>
                <w:lang w:val="uk-UA"/>
              </w:rPr>
              <w:t>продубльовані</w:t>
            </w:r>
            <w:proofErr w:type="spellEnd"/>
            <w:r w:rsidRPr="00EC7F6E">
              <w:rPr>
                <w:rStyle w:val="st42"/>
                <w:lang w:val="uk-UA"/>
              </w:rPr>
              <w:t xml:space="preserve"> пандусом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відсутній</w:t>
            </w: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EC7F6E">
              <w:rPr>
                <w:rStyle w:val="st42"/>
                <w:lang w:val="uk-UA"/>
              </w:rPr>
              <w:t>полотен</w:t>
            </w:r>
            <w:proofErr w:type="spellEnd"/>
            <w:r w:rsidRPr="00EC7F6E">
              <w:rPr>
                <w:rStyle w:val="st42"/>
                <w:lang w:val="uk-UA"/>
              </w:rPr>
              <w:t xml:space="preserve"> в положенні “зачинено” і “відчинено”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</w:t>
            </w: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9) кути порогів заокруглені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</w:p>
        </w:tc>
      </w:tr>
      <w:tr w:rsidR="00CD6F7F" w:rsidRPr="00EC7F6E" w:rsidTr="00CE743E">
        <w:tc>
          <w:tcPr>
            <w:tcW w:w="675" w:type="dxa"/>
            <w:vMerge/>
          </w:tcPr>
          <w:p w:rsidR="00CD6F7F" w:rsidRPr="00EC7F6E" w:rsidRDefault="00CD6F7F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D6F7F" w:rsidRPr="00EC7F6E" w:rsidRDefault="00CD6F7F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701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D6F7F" w:rsidRPr="00EC7F6E" w:rsidRDefault="00CD6F7F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відсутній</w:t>
            </w:r>
          </w:p>
        </w:tc>
      </w:tr>
      <w:tr w:rsidR="00CE743E" w:rsidRPr="00CF40DE" w:rsidTr="00CE743E">
        <w:tc>
          <w:tcPr>
            <w:tcW w:w="675" w:type="dxa"/>
            <w:vMerge w:val="restart"/>
          </w:tcPr>
          <w:p w:rsidR="00CE743E" w:rsidRPr="00EC7F6E" w:rsidRDefault="00CE743E">
            <w:pPr>
              <w:rPr>
                <w:b/>
                <w:lang w:val="uk-UA"/>
              </w:rPr>
            </w:pPr>
            <w:r w:rsidRPr="00EC7F6E">
              <w:rPr>
                <w:b/>
                <w:lang w:val="uk-UA"/>
              </w:rPr>
              <w:t>3</w:t>
            </w: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b/>
                <w:lang w:val="uk-UA"/>
              </w:rPr>
            </w:pPr>
            <w:r w:rsidRPr="00EC7F6E">
              <w:rPr>
                <w:rStyle w:val="st42"/>
                <w:b/>
                <w:lang w:val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C7F6E">
              <w:rPr>
                <w:rStyle w:val="st42"/>
                <w:lang w:val="uk-UA"/>
              </w:rPr>
              <w:t>продубльовані</w:t>
            </w:r>
            <w:proofErr w:type="spellEnd"/>
            <w:r w:rsidRPr="00EC7F6E">
              <w:rPr>
                <w:rStyle w:val="st42"/>
                <w:lang w:val="uk-UA"/>
              </w:rPr>
              <w:t xml:space="preserve"> пандусом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</w:t>
            </w:r>
            <w:r w:rsidRPr="00EC7F6E">
              <w:rPr>
                <w:rStyle w:val="st42"/>
                <w:lang w:val="uk-UA"/>
              </w:rPr>
              <w:lastRenderedPageBreak/>
              <w:t>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lastRenderedPageBreak/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EC7F6E">
              <w:rPr>
                <w:rStyle w:val="st42"/>
                <w:lang w:val="uk-UA"/>
              </w:rPr>
              <w:t>полотен</w:t>
            </w:r>
            <w:proofErr w:type="spellEnd"/>
            <w:r w:rsidRPr="00EC7F6E">
              <w:rPr>
                <w:rStyle w:val="st42"/>
                <w:lang w:val="uk-UA"/>
              </w:rPr>
              <w:t xml:space="preserve"> в положенні “зачинено” і “відчинено”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</w:t>
            </w: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8) кути порогів заокруглені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EC7F6E">
              <w:rPr>
                <w:rStyle w:val="st42"/>
                <w:lang w:val="uk-UA"/>
              </w:rPr>
              <w:t>відеозв’язку</w:t>
            </w:r>
            <w:proofErr w:type="spellEnd"/>
            <w:r w:rsidRPr="00EC7F6E">
              <w:rPr>
                <w:rStyle w:val="st42"/>
                <w:lang w:val="uk-UA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 w:rsidRPr="00EC7F6E">
              <w:rPr>
                <w:rStyle w:val="st42"/>
                <w:lang w:val="uk-UA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lastRenderedPageBreak/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16) номери поверхів, зазначені на кнопках ліфта, </w:t>
            </w:r>
            <w:proofErr w:type="spellStart"/>
            <w:r w:rsidRPr="00EC7F6E">
              <w:rPr>
                <w:rStyle w:val="st42"/>
                <w:lang w:val="uk-UA"/>
              </w:rPr>
              <w:t>продубльовані</w:t>
            </w:r>
            <w:proofErr w:type="spellEnd"/>
            <w:r w:rsidRPr="00EC7F6E">
              <w:rPr>
                <w:rStyle w:val="st42"/>
                <w:lang w:val="uk-UA"/>
              </w:rPr>
              <w:t xml:space="preserve"> у тактильному вигляді та шрифтом </w:t>
            </w:r>
            <w:proofErr w:type="spellStart"/>
            <w:r w:rsidRPr="00EC7F6E">
              <w:rPr>
                <w:rStyle w:val="st42"/>
                <w:lang w:val="uk-UA"/>
              </w:rPr>
              <w:t>Брайля</w:t>
            </w:r>
            <w:proofErr w:type="spellEnd"/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19) ширина дверей ліфта не менш як 0,9 метра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701" w:type="dxa"/>
          </w:tcPr>
          <w:p w:rsidR="00CE743E" w:rsidRPr="00EC7F6E" w:rsidRDefault="00C82297">
            <w:pPr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82297">
            <w:p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26) місце розташування пандуса (у разі його наявності) позначено міжнародним знаком </w:t>
            </w:r>
            <w:r w:rsidRPr="00EC7F6E">
              <w:rPr>
                <w:rStyle w:val="st42"/>
                <w:lang w:val="uk-UA"/>
              </w:rPr>
              <w:lastRenderedPageBreak/>
              <w:t>доступності для зручності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lastRenderedPageBreak/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30) відповідна схема виконана в доступних (візуально/</w:t>
            </w:r>
            <w:proofErr w:type="spellStart"/>
            <w:r w:rsidRPr="00EC7F6E">
              <w:rPr>
                <w:rStyle w:val="st42"/>
                <w:lang w:val="uk-UA"/>
              </w:rPr>
              <w:t>тактильно</w:t>
            </w:r>
            <w:proofErr w:type="spellEnd"/>
            <w:r w:rsidRPr="00EC7F6E">
              <w:rPr>
                <w:rStyle w:val="st42"/>
                <w:lang w:val="uk-UA"/>
              </w:rPr>
              <w:t>) форматах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ТАК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  <w:vMerge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 xml:space="preserve">39) пристрої сповіщення про надзвичайну ситуацію </w:t>
            </w:r>
            <w:r w:rsidRPr="00EC7F6E">
              <w:rPr>
                <w:rStyle w:val="st42"/>
                <w:lang w:val="uk-UA"/>
              </w:rPr>
              <w:lastRenderedPageBreak/>
              <w:t>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lastRenderedPageBreak/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</w:tcPr>
          <w:p w:rsidR="00CE743E" w:rsidRPr="00EC7F6E" w:rsidRDefault="00CE743E">
            <w:pPr>
              <w:rPr>
                <w:b/>
                <w:lang w:val="uk-UA"/>
              </w:rPr>
            </w:pPr>
            <w:r w:rsidRPr="00EC7F6E"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b/>
                <w:lang w:val="uk-UA"/>
              </w:rPr>
            </w:pPr>
            <w:proofErr w:type="spellStart"/>
            <w:r w:rsidRPr="00EC7F6E">
              <w:rPr>
                <w:rStyle w:val="st42"/>
                <w:b/>
                <w:lang w:val="uk-UA"/>
              </w:rPr>
              <w:t>Безбар’єрність</w:t>
            </w:r>
            <w:proofErr w:type="spellEnd"/>
            <w:r w:rsidRPr="00EC7F6E">
              <w:rPr>
                <w:rStyle w:val="st42"/>
                <w:b/>
                <w:lang w:val="uk-UA"/>
              </w:rPr>
              <w:t xml:space="preserve"> послуг для осіб з інвалідністю: 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  <w:tr w:rsidR="00CE743E" w:rsidRPr="00EC7F6E" w:rsidTr="00CE743E">
        <w:tc>
          <w:tcPr>
            <w:tcW w:w="675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відсутній</w:t>
            </w:r>
          </w:p>
        </w:tc>
      </w:tr>
      <w:tr w:rsidR="00CE743E" w:rsidRPr="00EC7F6E" w:rsidTr="00CE743E">
        <w:tc>
          <w:tcPr>
            <w:tcW w:w="675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  <w:tc>
          <w:tcPr>
            <w:tcW w:w="5812" w:type="dxa"/>
          </w:tcPr>
          <w:p w:rsidR="00CE743E" w:rsidRPr="00EC7F6E" w:rsidRDefault="00CE743E" w:rsidP="00010BAF">
            <w:pPr>
              <w:pStyle w:val="st14"/>
              <w:rPr>
                <w:rStyle w:val="st42"/>
                <w:lang w:val="uk-UA"/>
              </w:rPr>
            </w:pPr>
            <w:r w:rsidRPr="00EC7F6E">
              <w:rPr>
                <w:rStyle w:val="st42"/>
                <w:lang w:val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701" w:type="dxa"/>
          </w:tcPr>
          <w:p w:rsidR="00CE743E" w:rsidRPr="00EC7F6E" w:rsidRDefault="00CE743E">
            <w:pPr>
              <w:rPr>
                <w:lang w:val="uk-UA"/>
              </w:rPr>
            </w:pPr>
            <w:r w:rsidRPr="00EC7F6E">
              <w:rPr>
                <w:lang w:val="uk-UA"/>
              </w:rPr>
              <w:t>НІ</w:t>
            </w:r>
          </w:p>
        </w:tc>
        <w:tc>
          <w:tcPr>
            <w:tcW w:w="1559" w:type="dxa"/>
          </w:tcPr>
          <w:p w:rsidR="00CE743E" w:rsidRPr="00EC7F6E" w:rsidRDefault="00CE743E">
            <w:pPr>
              <w:rPr>
                <w:lang w:val="uk-UA"/>
              </w:rPr>
            </w:pPr>
          </w:p>
        </w:tc>
      </w:tr>
    </w:tbl>
    <w:p w:rsidR="00CE743E" w:rsidRPr="00EC7F6E" w:rsidRDefault="00CE743E" w:rsidP="00CE743E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EC7F6E">
        <w:rPr>
          <w:rFonts w:eastAsia="Times New Roman"/>
          <w:b/>
          <w:color w:val="000000"/>
          <w:sz w:val="28"/>
          <w:szCs w:val="28"/>
          <w:lang w:val="uk-UA" w:eastAsia="uk-UA"/>
        </w:rPr>
        <w:t>Серед працюючих кількість осіб</w:t>
      </w:r>
    </w:p>
    <w:tbl>
      <w:tblPr>
        <w:tblW w:w="9781" w:type="dxa"/>
        <w:tblCellSpacing w:w="-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1276"/>
        <w:gridCol w:w="1701"/>
        <w:gridCol w:w="1701"/>
        <w:gridCol w:w="1574"/>
        <w:gridCol w:w="977"/>
      </w:tblGrid>
      <w:tr w:rsidR="00F500D3" w:rsidRPr="00EC7F6E" w:rsidTr="00F500D3">
        <w:trPr>
          <w:trHeight w:val="359"/>
          <w:tblCellSpacing w:w="-6" w:type="dxa"/>
        </w:trPr>
        <w:tc>
          <w:tcPr>
            <w:tcW w:w="7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Усього осіб з інвалідністю</w:t>
            </w:r>
          </w:p>
        </w:tc>
        <w:tc>
          <w:tcPr>
            <w:tcW w:w="597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них</w:t>
            </w:r>
          </w:p>
        </w:tc>
      </w:tr>
      <w:tr w:rsidR="00D870F5" w:rsidRPr="00EC7F6E" w:rsidTr="00F500D3">
        <w:trPr>
          <w:trHeight w:val="1276"/>
          <w:tblCellSpacing w:w="-6" w:type="dxa"/>
        </w:trPr>
        <w:tc>
          <w:tcPr>
            <w:tcW w:w="7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82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порушенням зору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порушенням слуху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мають інші порушення</w:t>
            </w:r>
          </w:p>
        </w:tc>
      </w:tr>
      <w:tr w:rsidR="00D870F5" w:rsidRPr="00EC7F6E" w:rsidTr="00F500D3">
        <w:trPr>
          <w:trHeight w:val="12"/>
          <w:tblCellSpacing w:w="-6" w:type="dxa"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Усього</w:t>
            </w:r>
          </w:p>
        </w:tc>
        <w:tc>
          <w:tcPr>
            <w:tcW w:w="1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</w:tr>
      <w:tr w:rsidR="00D870F5" w:rsidRPr="00EC7F6E" w:rsidTr="00F500D3">
        <w:trPr>
          <w:trHeight w:val="880"/>
          <w:tblCellSpacing w:w="-6" w:type="dxa"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з них чоловіки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з них жінки</w:t>
            </w:r>
          </w:p>
        </w:tc>
        <w:tc>
          <w:tcPr>
            <w:tcW w:w="1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D870F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</w:tr>
      <w:tr w:rsidR="00CE743E" w:rsidRPr="00EC7F6E" w:rsidTr="00F500D3">
        <w:trPr>
          <w:trHeight w:val="12"/>
          <w:tblCellSpacing w:w="-6" w:type="dxa"/>
        </w:trPr>
        <w:tc>
          <w:tcPr>
            <w:tcW w:w="9805" w:type="dxa"/>
            <w:gridSpan w:val="7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CE743E" w:rsidRPr="00EC7F6E" w:rsidTr="00F500D3">
        <w:trPr>
          <w:trHeight w:val="12"/>
          <w:tblCellSpacing w:w="-6" w:type="dxa"/>
        </w:trPr>
        <w:tc>
          <w:tcPr>
            <w:tcW w:w="70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8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Усього осіб з інвалідністю</w:t>
            </w:r>
          </w:p>
        </w:tc>
        <w:tc>
          <w:tcPr>
            <w:tcW w:w="597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них</w:t>
            </w:r>
          </w:p>
        </w:tc>
      </w:tr>
      <w:tr w:rsidR="00F500D3" w:rsidRPr="00EC7F6E" w:rsidTr="00F500D3">
        <w:trPr>
          <w:trHeight w:val="12"/>
          <w:tblCellSpacing w:w="-6" w:type="dxa"/>
        </w:trPr>
        <w:tc>
          <w:tcPr>
            <w:tcW w:w="70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82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порушенням зору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з порушенням слуху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b/>
                <w:bCs/>
                <w:color w:val="000000"/>
                <w:lang w:val="uk-UA" w:eastAsia="uk-UA"/>
              </w:rPr>
              <w:t>мають інші порушення</w:t>
            </w:r>
          </w:p>
        </w:tc>
      </w:tr>
      <w:tr w:rsidR="00F500D3" w:rsidRPr="00EC7F6E" w:rsidTr="00F500D3">
        <w:trPr>
          <w:trHeight w:val="480"/>
          <w:tblCellSpacing w:w="-6" w:type="dxa"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Усього</w:t>
            </w:r>
          </w:p>
        </w:tc>
        <w:tc>
          <w:tcPr>
            <w:tcW w:w="1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</w:tr>
      <w:tr w:rsidR="00F500D3" w:rsidRPr="00EC7F6E" w:rsidTr="00F500D3">
        <w:trPr>
          <w:trHeight w:val="12"/>
          <w:tblCellSpacing w:w="-6" w:type="dxa"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з них чоловіки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з них жінки</w:t>
            </w:r>
          </w:p>
        </w:tc>
        <w:tc>
          <w:tcPr>
            <w:tcW w:w="1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CE743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EC7F6E">
              <w:rPr>
                <w:rFonts w:eastAsia="Times New Roman"/>
                <w:color w:val="000000"/>
                <w:lang w:val="uk-UA" w:eastAsia="uk-UA"/>
              </w:rPr>
              <w:t>0</w:t>
            </w:r>
          </w:p>
          <w:p w:rsidR="00CE743E" w:rsidRPr="00EC7F6E" w:rsidRDefault="00CE743E" w:rsidP="00F500D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color w:val="000000"/>
                <w:lang w:val="uk-UA" w:eastAsia="uk-UA"/>
              </w:rPr>
            </w:pPr>
          </w:p>
        </w:tc>
      </w:tr>
    </w:tbl>
    <w:p w:rsidR="00CE743E" w:rsidRPr="00EC7F6E" w:rsidRDefault="00CE743E" w:rsidP="00CE743E">
      <w:pPr>
        <w:jc w:val="center"/>
        <w:rPr>
          <w:sz w:val="28"/>
          <w:szCs w:val="28"/>
          <w:lang w:val="uk-UA"/>
        </w:rPr>
      </w:pPr>
    </w:p>
    <w:p w:rsidR="00D870F5" w:rsidRPr="00EC7F6E" w:rsidRDefault="00D870F5" w:rsidP="00D870F5">
      <w:pPr>
        <w:spacing w:after="0" w:line="240" w:lineRule="auto"/>
        <w:rPr>
          <w:rFonts w:eastAsia="Times New Roman"/>
          <w:color w:val="000000"/>
          <w:sz w:val="20"/>
          <w:szCs w:val="20"/>
          <w:lang w:val="uk-UA" w:eastAsia="uk-UA"/>
        </w:rPr>
      </w:pPr>
      <w:r w:rsidRPr="00EC7F6E">
        <w:rPr>
          <w:rFonts w:ascii="Calibri" w:eastAsia="Times New Roman" w:hAnsi="Calibri"/>
          <w:color w:val="000000"/>
          <w:sz w:val="22"/>
          <w:szCs w:val="22"/>
          <w:lang w:val="uk-UA" w:eastAsia="uk-UA"/>
        </w:rPr>
        <w:lastRenderedPageBreak/>
        <w:t xml:space="preserve">Підсумки </w:t>
      </w:r>
      <w:r w:rsidRPr="00EC7F6E">
        <w:rPr>
          <w:rFonts w:ascii="Calibri" w:eastAsia="Times New Roman" w:hAnsi="Calibri"/>
          <w:color w:val="000000"/>
          <w:sz w:val="22"/>
          <w:szCs w:val="22"/>
          <w:u w:val="single"/>
          <w:lang w:val="uk-UA" w:eastAsia="uk-UA"/>
        </w:rPr>
        <w:t>__</w:t>
      </w:r>
      <w:r w:rsidRPr="00EC7F6E">
        <w:rPr>
          <w:rFonts w:ascii="Calibri" w:eastAsia="Times New Roman" w:hAnsi="Calibri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EC7F6E">
        <w:rPr>
          <w:rFonts w:eastAsia="Times New Roman"/>
          <w:b/>
          <w:bCs/>
          <w:color w:val="FF0000"/>
          <w:lang w:val="uk-UA" w:eastAsia="uk-UA"/>
        </w:rPr>
        <w:t>об’єкт є бар’єрним_*</w:t>
      </w:r>
      <w:r w:rsidRPr="00EC7F6E">
        <w:rPr>
          <w:rFonts w:eastAsia="Times New Roman"/>
          <w:color w:val="000000"/>
          <w:lang w:val="uk-UA" w:eastAsia="uk-UA"/>
        </w:rPr>
        <w:br/>
        <w:t>__________</w:t>
      </w:r>
      <w:r w:rsidRPr="00EC7F6E">
        <w:rPr>
          <w:rFonts w:ascii="Calibri" w:eastAsia="Times New Roman" w:hAnsi="Calibri"/>
          <w:color w:val="000000"/>
          <w:sz w:val="20"/>
          <w:szCs w:val="20"/>
          <w:lang w:val="uk-UA" w:eastAsia="uk-UA"/>
        </w:rPr>
        <w:br/>
      </w:r>
      <w:r w:rsidRPr="00EC7F6E">
        <w:rPr>
          <w:rFonts w:eastAsia="Times New Roman"/>
          <w:color w:val="FF0000"/>
          <w:sz w:val="20"/>
          <w:szCs w:val="20"/>
          <w:lang w:val="uk-UA" w:eastAsia="uk-UA"/>
        </w:rPr>
        <w:t>*обов’язково для заповнення, зазначається:</w:t>
      </w:r>
      <w:r w:rsidRPr="00EC7F6E">
        <w:rPr>
          <w:rFonts w:ascii="Calibri" w:eastAsia="Times New Roman" w:hAnsi="Calibri"/>
          <w:color w:val="000000"/>
          <w:sz w:val="20"/>
          <w:szCs w:val="20"/>
          <w:lang w:val="uk-UA" w:eastAsia="uk-UA"/>
        </w:rPr>
        <w:br/>
      </w:r>
      <w:r w:rsidRPr="00EC7F6E">
        <w:rPr>
          <w:rFonts w:eastAsia="Times New Roman"/>
          <w:b/>
          <w:bCs/>
          <w:color w:val="00B050"/>
          <w:sz w:val="20"/>
          <w:szCs w:val="20"/>
          <w:lang w:val="uk-UA" w:eastAsia="uk-UA"/>
        </w:rPr>
        <w:t xml:space="preserve">об’єкт є </w:t>
      </w:r>
      <w:proofErr w:type="spellStart"/>
      <w:r w:rsidRPr="00EC7F6E">
        <w:rPr>
          <w:rFonts w:eastAsia="Times New Roman"/>
          <w:b/>
          <w:bCs/>
          <w:color w:val="00B050"/>
          <w:sz w:val="20"/>
          <w:szCs w:val="20"/>
          <w:lang w:val="uk-UA" w:eastAsia="uk-UA"/>
        </w:rPr>
        <w:t>безбар’єрним</w:t>
      </w:r>
      <w:proofErr w:type="spellEnd"/>
      <w:r w:rsidRPr="00EC7F6E">
        <w:rPr>
          <w:rFonts w:eastAsia="Times New Roman"/>
          <w:color w:val="000000"/>
          <w:sz w:val="20"/>
          <w:szCs w:val="20"/>
          <w:lang w:val="uk-UA" w:eastAsia="uk-UA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EC7F6E">
        <w:rPr>
          <w:rFonts w:eastAsia="Times New Roman"/>
          <w:color w:val="000000"/>
          <w:sz w:val="20"/>
          <w:szCs w:val="20"/>
          <w:lang w:val="uk-UA" w:eastAsia="uk-UA"/>
        </w:rPr>
        <w:br/>
      </w:r>
      <w:r w:rsidRPr="00EC7F6E">
        <w:rPr>
          <w:rFonts w:eastAsia="Times New Roman"/>
          <w:b/>
          <w:bCs/>
          <w:color w:val="FFC000"/>
          <w:sz w:val="20"/>
          <w:szCs w:val="20"/>
          <w:lang w:val="uk-UA" w:eastAsia="uk-UA"/>
        </w:rPr>
        <w:t xml:space="preserve">об’єкт має часткову </w:t>
      </w:r>
      <w:proofErr w:type="spellStart"/>
      <w:r w:rsidRPr="00EC7F6E">
        <w:rPr>
          <w:rFonts w:eastAsia="Times New Roman"/>
          <w:b/>
          <w:bCs/>
          <w:color w:val="FFC000"/>
          <w:sz w:val="20"/>
          <w:szCs w:val="20"/>
          <w:lang w:val="uk-UA" w:eastAsia="uk-UA"/>
        </w:rPr>
        <w:t>безбар’єрність</w:t>
      </w:r>
      <w:proofErr w:type="spellEnd"/>
      <w:r w:rsidRPr="00EC7F6E">
        <w:rPr>
          <w:rFonts w:eastAsia="Times New Roman"/>
          <w:color w:val="000000"/>
          <w:sz w:val="20"/>
          <w:szCs w:val="20"/>
          <w:lang w:val="uk-UA" w:eastAsia="uk-UA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D870F5" w:rsidRPr="00EC7F6E" w:rsidRDefault="00D870F5" w:rsidP="00D870F5">
      <w:pPr>
        <w:spacing w:after="0" w:line="240" w:lineRule="auto"/>
        <w:rPr>
          <w:rFonts w:eastAsia="Times New Roman"/>
          <w:color w:val="000000"/>
          <w:sz w:val="20"/>
          <w:szCs w:val="20"/>
          <w:lang w:val="uk-UA" w:eastAsia="uk-UA"/>
        </w:rPr>
      </w:pPr>
      <w:r w:rsidRPr="00EC7F6E">
        <w:rPr>
          <w:rFonts w:eastAsia="Times New Roman"/>
          <w:b/>
          <w:bCs/>
          <w:color w:val="FF0000"/>
          <w:sz w:val="20"/>
          <w:szCs w:val="20"/>
          <w:lang w:val="uk-UA" w:eastAsia="uk-UA"/>
        </w:rPr>
        <w:t>об’єкт є бар’єрним</w:t>
      </w:r>
      <w:r w:rsidRPr="00EC7F6E">
        <w:rPr>
          <w:rFonts w:eastAsia="Times New Roman"/>
          <w:color w:val="000000"/>
          <w:sz w:val="20"/>
          <w:szCs w:val="20"/>
          <w:lang w:val="uk-UA" w:eastAsia="uk-UA"/>
        </w:rPr>
        <w:t>: всі інші об’єкти, крім тих, що належать до першого та другого рівня.</w:t>
      </w:r>
    </w:p>
    <w:p w:rsidR="00D870F5" w:rsidRPr="00EC7F6E" w:rsidRDefault="00D870F5" w:rsidP="00D870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/>
          <w:color w:val="000000"/>
          <w:lang w:val="uk-UA" w:eastAsia="uk-UA"/>
        </w:rPr>
      </w:pPr>
    </w:p>
    <w:p w:rsidR="00D870F5" w:rsidRPr="00EC7F6E" w:rsidRDefault="00D870F5" w:rsidP="00D870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/>
          <w:color w:val="000000"/>
          <w:lang w:val="uk-UA" w:eastAsia="uk-UA"/>
        </w:rPr>
      </w:pPr>
      <w:r w:rsidRPr="00EC7F6E">
        <w:rPr>
          <w:rFonts w:eastAsia="Times New Roman"/>
          <w:color w:val="000000"/>
          <w:lang w:val="uk-UA" w:eastAsia="uk-UA"/>
        </w:rPr>
        <w:t>Управитель об’єкта _____________Оксана АДАМЕНКО_______________________</w:t>
      </w:r>
    </w:p>
    <w:p w:rsidR="00D870F5" w:rsidRPr="00EC7F6E" w:rsidRDefault="00D870F5" w:rsidP="00D870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/>
          <w:color w:val="000000"/>
          <w:lang w:val="uk-UA" w:eastAsia="uk-UA"/>
        </w:rPr>
      </w:pPr>
    </w:p>
    <w:p w:rsidR="00D870F5" w:rsidRPr="00EC7F6E" w:rsidRDefault="00D870F5" w:rsidP="00D870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/>
          <w:color w:val="000000"/>
          <w:lang w:val="uk-UA" w:eastAsia="uk-UA"/>
        </w:rPr>
      </w:pPr>
      <w:r w:rsidRPr="00EC7F6E">
        <w:rPr>
          <w:rFonts w:eastAsia="Times New Roman"/>
          <w:color w:val="000000"/>
          <w:lang w:val="uk-UA" w:eastAsia="uk-UA"/>
        </w:rPr>
        <w:t>“20.08.2024р.</w:t>
      </w:r>
    </w:p>
    <w:p w:rsidR="00D870F5" w:rsidRPr="00EC7F6E" w:rsidRDefault="00D870F5" w:rsidP="00CE743E">
      <w:pPr>
        <w:jc w:val="center"/>
        <w:rPr>
          <w:sz w:val="28"/>
          <w:szCs w:val="28"/>
          <w:lang w:val="uk-UA"/>
        </w:rPr>
      </w:pPr>
    </w:p>
    <w:sectPr w:rsidR="00D870F5" w:rsidRPr="00EC7F6E" w:rsidSect="00F500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3F"/>
    <w:rsid w:val="00004D29"/>
    <w:rsid w:val="00004E15"/>
    <w:rsid w:val="00007D9C"/>
    <w:rsid w:val="00010367"/>
    <w:rsid w:val="00010479"/>
    <w:rsid w:val="0001273F"/>
    <w:rsid w:val="000161AC"/>
    <w:rsid w:val="0002201B"/>
    <w:rsid w:val="000233F1"/>
    <w:rsid w:val="00026896"/>
    <w:rsid w:val="0003029E"/>
    <w:rsid w:val="00032717"/>
    <w:rsid w:val="00037304"/>
    <w:rsid w:val="000375AD"/>
    <w:rsid w:val="000471D2"/>
    <w:rsid w:val="00050031"/>
    <w:rsid w:val="000512C5"/>
    <w:rsid w:val="00052637"/>
    <w:rsid w:val="00053B4F"/>
    <w:rsid w:val="00055DB0"/>
    <w:rsid w:val="00056574"/>
    <w:rsid w:val="00060F6D"/>
    <w:rsid w:val="00063AF6"/>
    <w:rsid w:val="0006720C"/>
    <w:rsid w:val="00067CCE"/>
    <w:rsid w:val="00077CC5"/>
    <w:rsid w:val="00080769"/>
    <w:rsid w:val="000839D7"/>
    <w:rsid w:val="000913B3"/>
    <w:rsid w:val="0009423A"/>
    <w:rsid w:val="00097E33"/>
    <w:rsid w:val="00097FC9"/>
    <w:rsid w:val="000A01C2"/>
    <w:rsid w:val="000A096C"/>
    <w:rsid w:val="000A772A"/>
    <w:rsid w:val="000A7938"/>
    <w:rsid w:val="000B475D"/>
    <w:rsid w:val="000C56E9"/>
    <w:rsid w:val="000E44E7"/>
    <w:rsid w:val="000E7E74"/>
    <w:rsid w:val="000F010E"/>
    <w:rsid w:val="000F0B7C"/>
    <w:rsid w:val="000F2221"/>
    <w:rsid w:val="000F4AE1"/>
    <w:rsid w:val="000F6C3C"/>
    <w:rsid w:val="00103540"/>
    <w:rsid w:val="00112D41"/>
    <w:rsid w:val="001141EA"/>
    <w:rsid w:val="0011552E"/>
    <w:rsid w:val="0012438C"/>
    <w:rsid w:val="001317D1"/>
    <w:rsid w:val="0013289C"/>
    <w:rsid w:val="00135F28"/>
    <w:rsid w:val="00135FE8"/>
    <w:rsid w:val="0013653C"/>
    <w:rsid w:val="00136C3A"/>
    <w:rsid w:val="00137E1D"/>
    <w:rsid w:val="001464D0"/>
    <w:rsid w:val="00146648"/>
    <w:rsid w:val="00150D53"/>
    <w:rsid w:val="0015279B"/>
    <w:rsid w:val="00156CDD"/>
    <w:rsid w:val="001578D2"/>
    <w:rsid w:val="00157EB6"/>
    <w:rsid w:val="001612F5"/>
    <w:rsid w:val="00164D24"/>
    <w:rsid w:val="0016612D"/>
    <w:rsid w:val="0017165A"/>
    <w:rsid w:val="00173484"/>
    <w:rsid w:val="00177C0D"/>
    <w:rsid w:val="00183F90"/>
    <w:rsid w:val="00185DA1"/>
    <w:rsid w:val="001865E9"/>
    <w:rsid w:val="00190596"/>
    <w:rsid w:val="00192957"/>
    <w:rsid w:val="00193CC8"/>
    <w:rsid w:val="00197C72"/>
    <w:rsid w:val="00197CC8"/>
    <w:rsid w:val="001A1B78"/>
    <w:rsid w:val="001A2E4C"/>
    <w:rsid w:val="001A49E8"/>
    <w:rsid w:val="001A6922"/>
    <w:rsid w:val="001A7F0D"/>
    <w:rsid w:val="001B21BD"/>
    <w:rsid w:val="001B3D04"/>
    <w:rsid w:val="001B4D06"/>
    <w:rsid w:val="001C14D8"/>
    <w:rsid w:val="001C215A"/>
    <w:rsid w:val="001C4C36"/>
    <w:rsid w:val="001C6E17"/>
    <w:rsid w:val="001D6FBA"/>
    <w:rsid w:val="001D7EDB"/>
    <w:rsid w:val="001E476F"/>
    <w:rsid w:val="001E649E"/>
    <w:rsid w:val="001E7981"/>
    <w:rsid w:val="001F0237"/>
    <w:rsid w:val="001F05C9"/>
    <w:rsid w:val="001F210D"/>
    <w:rsid w:val="001F7576"/>
    <w:rsid w:val="002026E5"/>
    <w:rsid w:val="00204A3E"/>
    <w:rsid w:val="002070EC"/>
    <w:rsid w:val="002077A1"/>
    <w:rsid w:val="002147E2"/>
    <w:rsid w:val="00221F64"/>
    <w:rsid w:val="002251E6"/>
    <w:rsid w:val="00226E5C"/>
    <w:rsid w:val="0023489A"/>
    <w:rsid w:val="00237431"/>
    <w:rsid w:val="00237EEB"/>
    <w:rsid w:val="00240178"/>
    <w:rsid w:val="00250187"/>
    <w:rsid w:val="00256385"/>
    <w:rsid w:val="002570A1"/>
    <w:rsid w:val="00260D68"/>
    <w:rsid w:val="00261BD1"/>
    <w:rsid w:val="00262397"/>
    <w:rsid w:val="00265BA9"/>
    <w:rsid w:val="0026614B"/>
    <w:rsid w:val="0027254B"/>
    <w:rsid w:val="00272C95"/>
    <w:rsid w:val="00273E06"/>
    <w:rsid w:val="00274216"/>
    <w:rsid w:val="002861B2"/>
    <w:rsid w:val="002863E2"/>
    <w:rsid w:val="00287035"/>
    <w:rsid w:val="002A1C97"/>
    <w:rsid w:val="002A2471"/>
    <w:rsid w:val="002A29B4"/>
    <w:rsid w:val="002A3313"/>
    <w:rsid w:val="002A69A5"/>
    <w:rsid w:val="002A73CA"/>
    <w:rsid w:val="002A76D2"/>
    <w:rsid w:val="002B151E"/>
    <w:rsid w:val="002B36D3"/>
    <w:rsid w:val="002B6203"/>
    <w:rsid w:val="002B67A1"/>
    <w:rsid w:val="002D3490"/>
    <w:rsid w:val="002D70FE"/>
    <w:rsid w:val="002E0815"/>
    <w:rsid w:val="002E304B"/>
    <w:rsid w:val="002E3D0D"/>
    <w:rsid w:val="002E3DA1"/>
    <w:rsid w:val="002F00ED"/>
    <w:rsid w:val="002F2696"/>
    <w:rsid w:val="002F6769"/>
    <w:rsid w:val="002F7232"/>
    <w:rsid w:val="003034A9"/>
    <w:rsid w:val="00311A84"/>
    <w:rsid w:val="0031420F"/>
    <w:rsid w:val="003227D0"/>
    <w:rsid w:val="00322F68"/>
    <w:rsid w:val="003235CD"/>
    <w:rsid w:val="00324659"/>
    <w:rsid w:val="00326A31"/>
    <w:rsid w:val="00327196"/>
    <w:rsid w:val="003312F3"/>
    <w:rsid w:val="0033467D"/>
    <w:rsid w:val="00334E68"/>
    <w:rsid w:val="003444A3"/>
    <w:rsid w:val="00344B7D"/>
    <w:rsid w:val="00347C2C"/>
    <w:rsid w:val="00355F4C"/>
    <w:rsid w:val="00356B8E"/>
    <w:rsid w:val="003607F9"/>
    <w:rsid w:val="003609A2"/>
    <w:rsid w:val="00364841"/>
    <w:rsid w:val="00366992"/>
    <w:rsid w:val="00366AE9"/>
    <w:rsid w:val="00366E69"/>
    <w:rsid w:val="0037336B"/>
    <w:rsid w:val="003751C7"/>
    <w:rsid w:val="00376017"/>
    <w:rsid w:val="003770C4"/>
    <w:rsid w:val="0038035C"/>
    <w:rsid w:val="00383CB1"/>
    <w:rsid w:val="003853D4"/>
    <w:rsid w:val="003901C1"/>
    <w:rsid w:val="0039063B"/>
    <w:rsid w:val="003907A7"/>
    <w:rsid w:val="003959F6"/>
    <w:rsid w:val="00395FFD"/>
    <w:rsid w:val="003A0693"/>
    <w:rsid w:val="003A3DD8"/>
    <w:rsid w:val="003A6413"/>
    <w:rsid w:val="003A6D9E"/>
    <w:rsid w:val="003B2137"/>
    <w:rsid w:val="003B3183"/>
    <w:rsid w:val="003B4F87"/>
    <w:rsid w:val="003B6DF9"/>
    <w:rsid w:val="003C013A"/>
    <w:rsid w:val="003C325F"/>
    <w:rsid w:val="003C50AC"/>
    <w:rsid w:val="003C7976"/>
    <w:rsid w:val="003D112D"/>
    <w:rsid w:val="003D4CFF"/>
    <w:rsid w:val="003D508C"/>
    <w:rsid w:val="003D5E77"/>
    <w:rsid w:val="003D684A"/>
    <w:rsid w:val="003D7C1B"/>
    <w:rsid w:val="003E0B75"/>
    <w:rsid w:val="003E30E1"/>
    <w:rsid w:val="003E57F3"/>
    <w:rsid w:val="003E6132"/>
    <w:rsid w:val="003E6646"/>
    <w:rsid w:val="003F0FAA"/>
    <w:rsid w:val="003F14DF"/>
    <w:rsid w:val="003F25D4"/>
    <w:rsid w:val="003F2A71"/>
    <w:rsid w:val="003F398B"/>
    <w:rsid w:val="003F39D2"/>
    <w:rsid w:val="00405679"/>
    <w:rsid w:val="00422409"/>
    <w:rsid w:val="00426F55"/>
    <w:rsid w:val="004308C6"/>
    <w:rsid w:val="0044008C"/>
    <w:rsid w:val="00441587"/>
    <w:rsid w:val="00441C89"/>
    <w:rsid w:val="00445711"/>
    <w:rsid w:val="004467DD"/>
    <w:rsid w:val="00447238"/>
    <w:rsid w:val="00451837"/>
    <w:rsid w:val="00452E09"/>
    <w:rsid w:val="0046001D"/>
    <w:rsid w:val="00460450"/>
    <w:rsid w:val="00465EF8"/>
    <w:rsid w:val="00467BA5"/>
    <w:rsid w:val="00470FD5"/>
    <w:rsid w:val="00471556"/>
    <w:rsid w:val="00473E85"/>
    <w:rsid w:val="00475722"/>
    <w:rsid w:val="00476DB3"/>
    <w:rsid w:val="0049035C"/>
    <w:rsid w:val="004951D4"/>
    <w:rsid w:val="004A1556"/>
    <w:rsid w:val="004A1DD1"/>
    <w:rsid w:val="004A4821"/>
    <w:rsid w:val="004B218E"/>
    <w:rsid w:val="004B4EFE"/>
    <w:rsid w:val="004B54EE"/>
    <w:rsid w:val="004B5A8F"/>
    <w:rsid w:val="004C10C7"/>
    <w:rsid w:val="004C1C0E"/>
    <w:rsid w:val="004C493B"/>
    <w:rsid w:val="004C723C"/>
    <w:rsid w:val="004D1DAA"/>
    <w:rsid w:val="004D3662"/>
    <w:rsid w:val="004D409B"/>
    <w:rsid w:val="004F420C"/>
    <w:rsid w:val="004F5125"/>
    <w:rsid w:val="004F6EE6"/>
    <w:rsid w:val="005037F9"/>
    <w:rsid w:val="005110AC"/>
    <w:rsid w:val="005112D6"/>
    <w:rsid w:val="005141F2"/>
    <w:rsid w:val="00515AE7"/>
    <w:rsid w:val="00516357"/>
    <w:rsid w:val="00522D89"/>
    <w:rsid w:val="00523E79"/>
    <w:rsid w:val="00524A3F"/>
    <w:rsid w:val="0052795B"/>
    <w:rsid w:val="00530476"/>
    <w:rsid w:val="0053146C"/>
    <w:rsid w:val="00531FFD"/>
    <w:rsid w:val="00533D2B"/>
    <w:rsid w:val="00536281"/>
    <w:rsid w:val="00540418"/>
    <w:rsid w:val="00552612"/>
    <w:rsid w:val="00552E61"/>
    <w:rsid w:val="0055647F"/>
    <w:rsid w:val="00556926"/>
    <w:rsid w:val="00560BBF"/>
    <w:rsid w:val="0056722E"/>
    <w:rsid w:val="00570ED3"/>
    <w:rsid w:val="005739BC"/>
    <w:rsid w:val="00576B83"/>
    <w:rsid w:val="00576D1E"/>
    <w:rsid w:val="00576D4D"/>
    <w:rsid w:val="005816B6"/>
    <w:rsid w:val="00583213"/>
    <w:rsid w:val="00586994"/>
    <w:rsid w:val="00586AC7"/>
    <w:rsid w:val="00592803"/>
    <w:rsid w:val="00593C91"/>
    <w:rsid w:val="005960CC"/>
    <w:rsid w:val="005979BC"/>
    <w:rsid w:val="00597F0E"/>
    <w:rsid w:val="005A2E3F"/>
    <w:rsid w:val="005B54AB"/>
    <w:rsid w:val="005B6B4D"/>
    <w:rsid w:val="005C09F1"/>
    <w:rsid w:val="005C534D"/>
    <w:rsid w:val="005C5BC0"/>
    <w:rsid w:val="005C68ED"/>
    <w:rsid w:val="005D034C"/>
    <w:rsid w:val="005D2346"/>
    <w:rsid w:val="005D2D05"/>
    <w:rsid w:val="005D44E1"/>
    <w:rsid w:val="005D4A5E"/>
    <w:rsid w:val="005D6A1B"/>
    <w:rsid w:val="005D6F95"/>
    <w:rsid w:val="005D738B"/>
    <w:rsid w:val="005E0418"/>
    <w:rsid w:val="005E2C16"/>
    <w:rsid w:val="005F028F"/>
    <w:rsid w:val="005F1E2B"/>
    <w:rsid w:val="005F2C6D"/>
    <w:rsid w:val="005F6B19"/>
    <w:rsid w:val="005F7CA4"/>
    <w:rsid w:val="00604BB3"/>
    <w:rsid w:val="006056E3"/>
    <w:rsid w:val="00613BD0"/>
    <w:rsid w:val="00614B18"/>
    <w:rsid w:val="0061553A"/>
    <w:rsid w:val="00617225"/>
    <w:rsid w:val="00621A6E"/>
    <w:rsid w:val="00631A59"/>
    <w:rsid w:val="006335C1"/>
    <w:rsid w:val="00633A10"/>
    <w:rsid w:val="00633DE9"/>
    <w:rsid w:val="00641525"/>
    <w:rsid w:val="006429F2"/>
    <w:rsid w:val="00643A2F"/>
    <w:rsid w:val="00643C9E"/>
    <w:rsid w:val="00646AA2"/>
    <w:rsid w:val="00651BB1"/>
    <w:rsid w:val="00657657"/>
    <w:rsid w:val="00660599"/>
    <w:rsid w:val="00670C1A"/>
    <w:rsid w:val="0067416C"/>
    <w:rsid w:val="00676902"/>
    <w:rsid w:val="006812F7"/>
    <w:rsid w:val="00682B5D"/>
    <w:rsid w:val="00682FA3"/>
    <w:rsid w:val="00686E48"/>
    <w:rsid w:val="00687EBB"/>
    <w:rsid w:val="00690F04"/>
    <w:rsid w:val="00691147"/>
    <w:rsid w:val="00691188"/>
    <w:rsid w:val="006915D1"/>
    <w:rsid w:val="006935BE"/>
    <w:rsid w:val="006951FC"/>
    <w:rsid w:val="00695A9F"/>
    <w:rsid w:val="006963F5"/>
    <w:rsid w:val="006A1357"/>
    <w:rsid w:val="006A234B"/>
    <w:rsid w:val="006A4D57"/>
    <w:rsid w:val="006A6AAA"/>
    <w:rsid w:val="006A7039"/>
    <w:rsid w:val="006A74B6"/>
    <w:rsid w:val="006A7DBF"/>
    <w:rsid w:val="006B4FEC"/>
    <w:rsid w:val="006B5D89"/>
    <w:rsid w:val="006B7934"/>
    <w:rsid w:val="006C0E74"/>
    <w:rsid w:val="006C1623"/>
    <w:rsid w:val="006C1BFB"/>
    <w:rsid w:val="006C556F"/>
    <w:rsid w:val="006D0B6D"/>
    <w:rsid w:val="006D1C44"/>
    <w:rsid w:val="006D2ED3"/>
    <w:rsid w:val="006E15EA"/>
    <w:rsid w:val="006E5A0D"/>
    <w:rsid w:val="006F0C91"/>
    <w:rsid w:val="006F2CBF"/>
    <w:rsid w:val="006F558C"/>
    <w:rsid w:val="006F5D1C"/>
    <w:rsid w:val="00702A71"/>
    <w:rsid w:val="00703563"/>
    <w:rsid w:val="00704316"/>
    <w:rsid w:val="00706A73"/>
    <w:rsid w:val="007134BE"/>
    <w:rsid w:val="00716555"/>
    <w:rsid w:val="0071696D"/>
    <w:rsid w:val="0072013A"/>
    <w:rsid w:val="00720807"/>
    <w:rsid w:val="00720845"/>
    <w:rsid w:val="007237B8"/>
    <w:rsid w:val="007240B6"/>
    <w:rsid w:val="00724AA3"/>
    <w:rsid w:val="00726CAE"/>
    <w:rsid w:val="007323C9"/>
    <w:rsid w:val="00734D0F"/>
    <w:rsid w:val="00734E01"/>
    <w:rsid w:val="00740C99"/>
    <w:rsid w:val="0074796A"/>
    <w:rsid w:val="0075158E"/>
    <w:rsid w:val="00752F80"/>
    <w:rsid w:val="00763674"/>
    <w:rsid w:val="00763969"/>
    <w:rsid w:val="0076512E"/>
    <w:rsid w:val="007673F7"/>
    <w:rsid w:val="00772921"/>
    <w:rsid w:val="0077295A"/>
    <w:rsid w:val="00774075"/>
    <w:rsid w:val="00777B58"/>
    <w:rsid w:val="0078394C"/>
    <w:rsid w:val="00784568"/>
    <w:rsid w:val="00792E31"/>
    <w:rsid w:val="00796948"/>
    <w:rsid w:val="007A3629"/>
    <w:rsid w:val="007A37ED"/>
    <w:rsid w:val="007B074D"/>
    <w:rsid w:val="007B370A"/>
    <w:rsid w:val="007B41FD"/>
    <w:rsid w:val="007B59C0"/>
    <w:rsid w:val="007C052E"/>
    <w:rsid w:val="007C25D8"/>
    <w:rsid w:val="007D0911"/>
    <w:rsid w:val="007D0BAC"/>
    <w:rsid w:val="007D221E"/>
    <w:rsid w:val="007D36DC"/>
    <w:rsid w:val="007D381F"/>
    <w:rsid w:val="007E18C1"/>
    <w:rsid w:val="007E35C7"/>
    <w:rsid w:val="007E60AA"/>
    <w:rsid w:val="007E6DBE"/>
    <w:rsid w:val="007F1F60"/>
    <w:rsid w:val="00800979"/>
    <w:rsid w:val="00802BE9"/>
    <w:rsid w:val="00802FCA"/>
    <w:rsid w:val="00805811"/>
    <w:rsid w:val="00813E7F"/>
    <w:rsid w:val="008140C6"/>
    <w:rsid w:val="00814328"/>
    <w:rsid w:val="0081699B"/>
    <w:rsid w:val="00822307"/>
    <w:rsid w:val="008258D7"/>
    <w:rsid w:val="00826948"/>
    <w:rsid w:val="00831253"/>
    <w:rsid w:val="008325F3"/>
    <w:rsid w:val="00835F15"/>
    <w:rsid w:val="00837476"/>
    <w:rsid w:val="00841B47"/>
    <w:rsid w:val="00842B3D"/>
    <w:rsid w:val="00843008"/>
    <w:rsid w:val="008440EF"/>
    <w:rsid w:val="00847669"/>
    <w:rsid w:val="008542E1"/>
    <w:rsid w:val="00855017"/>
    <w:rsid w:val="00855207"/>
    <w:rsid w:val="00855671"/>
    <w:rsid w:val="00861833"/>
    <w:rsid w:val="00861F41"/>
    <w:rsid w:val="00866CE3"/>
    <w:rsid w:val="0086788B"/>
    <w:rsid w:val="008732E4"/>
    <w:rsid w:val="00873BF4"/>
    <w:rsid w:val="00876A68"/>
    <w:rsid w:val="008811DA"/>
    <w:rsid w:val="00881673"/>
    <w:rsid w:val="008834AA"/>
    <w:rsid w:val="00885C34"/>
    <w:rsid w:val="00886E9B"/>
    <w:rsid w:val="0088798A"/>
    <w:rsid w:val="00891AB0"/>
    <w:rsid w:val="00893562"/>
    <w:rsid w:val="0089717A"/>
    <w:rsid w:val="008A6A39"/>
    <w:rsid w:val="008B0C66"/>
    <w:rsid w:val="008B18B2"/>
    <w:rsid w:val="008B3649"/>
    <w:rsid w:val="008B4BED"/>
    <w:rsid w:val="008B4FD6"/>
    <w:rsid w:val="008C141D"/>
    <w:rsid w:val="008C5634"/>
    <w:rsid w:val="008C5B6B"/>
    <w:rsid w:val="008C62CD"/>
    <w:rsid w:val="008C69E4"/>
    <w:rsid w:val="008C6A37"/>
    <w:rsid w:val="008D359B"/>
    <w:rsid w:val="008D4637"/>
    <w:rsid w:val="008E220E"/>
    <w:rsid w:val="008E6466"/>
    <w:rsid w:val="008E6529"/>
    <w:rsid w:val="008F04CF"/>
    <w:rsid w:val="008F2A9D"/>
    <w:rsid w:val="008F2C78"/>
    <w:rsid w:val="008F6874"/>
    <w:rsid w:val="00903151"/>
    <w:rsid w:val="0090447E"/>
    <w:rsid w:val="00907BE9"/>
    <w:rsid w:val="00916F55"/>
    <w:rsid w:val="00920F3D"/>
    <w:rsid w:val="00921807"/>
    <w:rsid w:val="00926D16"/>
    <w:rsid w:val="0092798F"/>
    <w:rsid w:val="00931D9E"/>
    <w:rsid w:val="0093232D"/>
    <w:rsid w:val="00934D2E"/>
    <w:rsid w:val="00940C07"/>
    <w:rsid w:val="00946427"/>
    <w:rsid w:val="00947AFB"/>
    <w:rsid w:val="0095676D"/>
    <w:rsid w:val="00956B75"/>
    <w:rsid w:val="00960E49"/>
    <w:rsid w:val="00961C93"/>
    <w:rsid w:val="009650B8"/>
    <w:rsid w:val="0097400A"/>
    <w:rsid w:val="009821C4"/>
    <w:rsid w:val="00983AAE"/>
    <w:rsid w:val="00985D3B"/>
    <w:rsid w:val="00985DC4"/>
    <w:rsid w:val="00987A84"/>
    <w:rsid w:val="009939A5"/>
    <w:rsid w:val="00996451"/>
    <w:rsid w:val="00997557"/>
    <w:rsid w:val="009A0887"/>
    <w:rsid w:val="009A57FE"/>
    <w:rsid w:val="009A5B08"/>
    <w:rsid w:val="009A5C95"/>
    <w:rsid w:val="009A5D7A"/>
    <w:rsid w:val="009B41B3"/>
    <w:rsid w:val="009B5574"/>
    <w:rsid w:val="009B660F"/>
    <w:rsid w:val="009C3EFD"/>
    <w:rsid w:val="009C5A4A"/>
    <w:rsid w:val="009D01B6"/>
    <w:rsid w:val="009D0C3A"/>
    <w:rsid w:val="009D6260"/>
    <w:rsid w:val="009E4CD5"/>
    <w:rsid w:val="009E5602"/>
    <w:rsid w:val="009E649F"/>
    <w:rsid w:val="009F4350"/>
    <w:rsid w:val="009F685B"/>
    <w:rsid w:val="00A05C8E"/>
    <w:rsid w:val="00A06E53"/>
    <w:rsid w:val="00A17F2C"/>
    <w:rsid w:val="00A2270C"/>
    <w:rsid w:val="00A253B2"/>
    <w:rsid w:val="00A31845"/>
    <w:rsid w:val="00A342A0"/>
    <w:rsid w:val="00A3510B"/>
    <w:rsid w:val="00A43447"/>
    <w:rsid w:val="00A47261"/>
    <w:rsid w:val="00A54651"/>
    <w:rsid w:val="00A547CD"/>
    <w:rsid w:val="00A5504F"/>
    <w:rsid w:val="00A57BAC"/>
    <w:rsid w:val="00A65BA2"/>
    <w:rsid w:val="00A66D9D"/>
    <w:rsid w:val="00A708F8"/>
    <w:rsid w:val="00A75B38"/>
    <w:rsid w:val="00A80DE7"/>
    <w:rsid w:val="00A84D3F"/>
    <w:rsid w:val="00A853E6"/>
    <w:rsid w:val="00A92A6A"/>
    <w:rsid w:val="00A9406D"/>
    <w:rsid w:val="00A94E1E"/>
    <w:rsid w:val="00A962F5"/>
    <w:rsid w:val="00AA08D4"/>
    <w:rsid w:val="00AA3086"/>
    <w:rsid w:val="00AA41B1"/>
    <w:rsid w:val="00AA7C87"/>
    <w:rsid w:val="00AC1005"/>
    <w:rsid w:val="00AC2655"/>
    <w:rsid w:val="00AC34F6"/>
    <w:rsid w:val="00AD0837"/>
    <w:rsid w:val="00AD2FBE"/>
    <w:rsid w:val="00AD4F66"/>
    <w:rsid w:val="00AD5E68"/>
    <w:rsid w:val="00AD608E"/>
    <w:rsid w:val="00AE0337"/>
    <w:rsid w:val="00AE1B19"/>
    <w:rsid w:val="00AE2660"/>
    <w:rsid w:val="00AF681B"/>
    <w:rsid w:val="00AF7244"/>
    <w:rsid w:val="00B02BDD"/>
    <w:rsid w:val="00B056C8"/>
    <w:rsid w:val="00B063F9"/>
    <w:rsid w:val="00B100E2"/>
    <w:rsid w:val="00B1357C"/>
    <w:rsid w:val="00B13C4D"/>
    <w:rsid w:val="00B14031"/>
    <w:rsid w:val="00B174A0"/>
    <w:rsid w:val="00B2166E"/>
    <w:rsid w:val="00B21B55"/>
    <w:rsid w:val="00B25588"/>
    <w:rsid w:val="00B26929"/>
    <w:rsid w:val="00B2708F"/>
    <w:rsid w:val="00B27FC9"/>
    <w:rsid w:val="00B304D8"/>
    <w:rsid w:val="00B32621"/>
    <w:rsid w:val="00B32901"/>
    <w:rsid w:val="00B36532"/>
    <w:rsid w:val="00B37206"/>
    <w:rsid w:val="00B44686"/>
    <w:rsid w:val="00B44715"/>
    <w:rsid w:val="00B50A30"/>
    <w:rsid w:val="00B51563"/>
    <w:rsid w:val="00B54AD1"/>
    <w:rsid w:val="00B559D3"/>
    <w:rsid w:val="00B62D90"/>
    <w:rsid w:val="00B75CA9"/>
    <w:rsid w:val="00B80604"/>
    <w:rsid w:val="00B816A5"/>
    <w:rsid w:val="00B82BDD"/>
    <w:rsid w:val="00B8443F"/>
    <w:rsid w:val="00B8454C"/>
    <w:rsid w:val="00B85157"/>
    <w:rsid w:val="00B93C18"/>
    <w:rsid w:val="00B97338"/>
    <w:rsid w:val="00BA15BA"/>
    <w:rsid w:val="00BA571E"/>
    <w:rsid w:val="00BA7FEA"/>
    <w:rsid w:val="00BB0527"/>
    <w:rsid w:val="00BB2A92"/>
    <w:rsid w:val="00BB31CE"/>
    <w:rsid w:val="00BB548F"/>
    <w:rsid w:val="00BB59C1"/>
    <w:rsid w:val="00BD1146"/>
    <w:rsid w:val="00BD2422"/>
    <w:rsid w:val="00BD2B8F"/>
    <w:rsid w:val="00BD3254"/>
    <w:rsid w:val="00BD472B"/>
    <w:rsid w:val="00BD4C53"/>
    <w:rsid w:val="00BD4DE7"/>
    <w:rsid w:val="00BE1DBC"/>
    <w:rsid w:val="00BE377D"/>
    <w:rsid w:val="00BE3F91"/>
    <w:rsid w:val="00BF0CD6"/>
    <w:rsid w:val="00BF2D30"/>
    <w:rsid w:val="00C076AD"/>
    <w:rsid w:val="00C12166"/>
    <w:rsid w:val="00C1662F"/>
    <w:rsid w:val="00C20496"/>
    <w:rsid w:val="00C20802"/>
    <w:rsid w:val="00C24562"/>
    <w:rsid w:val="00C272A1"/>
    <w:rsid w:val="00C31AE4"/>
    <w:rsid w:val="00C35133"/>
    <w:rsid w:val="00C376E9"/>
    <w:rsid w:val="00C40D6B"/>
    <w:rsid w:val="00C469F5"/>
    <w:rsid w:val="00C53B2E"/>
    <w:rsid w:val="00C54488"/>
    <w:rsid w:val="00C5463D"/>
    <w:rsid w:val="00C60916"/>
    <w:rsid w:val="00C613D1"/>
    <w:rsid w:val="00C63A6B"/>
    <w:rsid w:val="00C648E9"/>
    <w:rsid w:val="00C73FEB"/>
    <w:rsid w:val="00C75811"/>
    <w:rsid w:val="00C82297"/>
    <w:rsid w:val="00C84FD8"/>
    <w:rsid w:val="00C8793C"/>
    <w:rsid w:val="00C91EFA"/>
    <w:rsid w:val="00C93808"/>
    <w:rsid w:val="00C95633"/>
    <w:rsid w:val="00C959B5"/>
    <w:rsid w:val="00CA1CDE"/>
    <w:rsid w:val="00CA7C66"/>
    <w:rsid w:val="00CB23C6"/>
    <w:rsid w:val="00CB3741"/>
    <w:rsid w:val="00CB556D"/>
    <w:rsid w:val="00CC7A79"/>
    <w:rsid w:val="00CD22AC"/>
    <w:rsid w:val="00CD4092"/>
    <w:rsid w:val="00CD45F3"/>
    <w:rsid w:val="00CD6F7F"/>
    <w:rsid w:val="00CE743E"/>
    <w:rsid w:val="00CE78AA"/>
    <w:rsid w:val="00CF12F0"/>
    <w:rsid w:val="00CF40DE"/>
    <w:rsid w:val="00D04004"/>
    <w:rsid w:val="00D060CC"/>
    <w:rsid w:val="00D07691"/>
    <w:rsid w:val="00D10EB3"/>
    <w:rsid w:val="00D10FA0"/>
    <w:rsid w:val="00D172C8"/>
    <w:rsid w:val="00D17B73"/>
    <w:rsid w:val="00D21749"/>
    <w:rsid w:val="00D21F1B"/>
    <w:rsid w:val="00D275F8"/>
    <w:rsid w:val="00D31B9F"/>
    <w:rsid w:val="00D328D6"/>
    <w:rsid w:val="00D361EC"/>
    <w:rsid w:val="00D44D3F"/>
    <w:rsid w:val="00D50950"/>
    <w:rsid w:val="00D53A3E"/>
    <w:rsid w:val="00D555C0"/>
    <w:rsid w:val="00D557FD"/>
    <w:rsid w:val="00D61736"/>
    <w:rsid w:val="00D65777"/>
    <w:rsid w:val="00D66417"/>
    <w:rsid w:val="00D71541"/>
    <w:rsid w:val="00D75C07"/>
    <w:rsid w:val="00D80883"/>
    <w:rsid w:val="00D81FE8"/>
    <w:rsid w:val="00D82AF0"/>
    <w:rsid w:val="00D86CB8"/>
    <w:rsid w:val="00D870F5"/>
    <w:rsid w:val="00D93F74"/>
    <w:rsid w:val="00D94102"/>
    <w:rsid w:val="00DA41C2"/>
    <w:rsid w:val="00DA7113"/>
    <w:rsid w:val="00DB09B7"/>
    <w:rsid w:val="00DB1325"/>
    <w:rsid w:val="00DB1FFE"/>
    <w:rsid w:val="00DB3B07"/>
    <w:rsid w:val="00DB753C"/>
    <w:rsid w:val="00DC1D34"/>
    <w:rsid w:val="00DC6549"/>
    <w:rsid w:val="00DC660E"/>
    <w:rsid w:val="00DD379A"/>
    <w:rsid w:val="00DE07BD"/>
    <w:rsid w:val="00DE0F09"/>
    <w:rsid w:val="00DF210E"/>
    <w:rsid w:val="00DF312B"/>
    <w:rsid w:val="00DF4029"/>
    <w:rsid w:val="00DF471E"/>
    <w:rsid w:val="00DF7220"/>
    <w:rsid w:val="00E00C23"/>
    <w:rsid w:val="00E0156F"/>
    <w:rsid w:val="00E032DC"/>
    <w:rsid w:val="00E04F20"/>
    <w:rsid w:val="00E1148F"/>
    <w:rsid w:val="00E133FD"/>
    <w:rsid w:val="00E13C05"/>
    <w:rsid w:val="00E146B9"/>
    <w:rsid w:val="00E14D8D"/>
    <w:rsid w:val="00E1565B"/>
    <w:rsid w:val="00E16F1F"/>
    <w:rsid w:val="00E20128"/>
    <w:rsid w:val="00E22375"/>
    <w:rsid w:val="00E25A12"/>
    <w:rsid w:val="00E26A8D"/>
    <w:rsid w:val="00E2787B"/>
    <w:rsid w:val="00E3099E"/>
    <w:rsid w:val="00E322E4"/>
    <w:rsid w:val="00E36A38"/>
    <w:rsid w:val="00E36C0F"/>
    <w:rsid w:val="00E40DC9"/>
    <w:rsid w:val="00E4107C"/>
    <w:rsid w:val="00E44906"/>
    <w:rsid w:val="00E51A85"/>
    <w:rsid w:val="00E51F2C"/>
    <w:rsid w:val="00E56E42"/>
    <w:rsid w:val="00E56F87"/>
    <w:rsid w:val="00E60A8E"/>
    <w:rsid w:val="00E62639"/>
    <w:rsid w:val="00E65EEA"/>
    <w:rsid w:val="00E67736"/>
    <w:rsid w:val="00E809E4"/>
    <w:rsid w:val="00E82F43"/>
    <w:rsid w:val="00E85F4B"/>
    <w:rsid w:val="00E906E8"/>
    <w:rsid w:val="00E95D39"/>
    <w:rsid w:val="00EA0061"/>
    <w:rsid w:val="00EA3A7C"/>
    <w:rsid w:val="00EB161A"/>
    <w:rsid w:val="00EB2248"/>
    <w:rsid w:val="00EB2CB0"/>
    <w:rsid w:val="00EC10B4"/>
    <w:rsid w:val="00EC7F6E"/>
    <w:rsid w:val="00ED31D4"/>
    <w:rsid w:val="00ED3AA7"/>
    <w:rsid w:val="00ED48C2"/>
    <w:rsid w:val="00EE4706"/>
    <w:rsid w:val="00EE5153"/>
    <w:rsid w:val="00EE56C2"/>
    <w:rsid w:val="00EE5D2D"/>
    <w:rsid w:val="00EE7650"/>
    <w:rsid w:val="00EF5B5C"/>
    <w:rsid w:val="00EF5F8D"/>
    <w:rsid w:val="00EF7587"/>
    <w:rsid w:val="00F03383"/>
    <w:rsid w:val="00F059EF"/>
    <w:rsid w:val="00F07F4C"/>
    <w:rsid w:val="00F11C19"/>
    <w:rsid w:val="00F12FD3"/>
    <w:rsid w:val="00F1562C"/>
    <w:rsid w:val="00F20849"/>
    <w:rsid w:val="00F26874"/>
    <w:rsid w:val="00F276F4"/>
    <w:rsid w:val="00F3014A"/>
    <w:rsid w:val="00F31DFE"/>
    <w:rsid w:val="00F32424"/>
    <w:rsid w:val="00F336AA"/>
    <w:rsid w:val="00F410F7"/>
    <w:rsid w:val="00F500D3"/>
    <w:rsid w:val="00F56239"/>
    <w:rsid w:val="00F64EC7"/>
    <w:rsid w:val="00F651A1"/>
    <w:rsid w:val="00F659CB"/>
    <w:rsid w:val="00F65B17"/>
    <w:rsid w:val="00F66767"/>
    <w:rsid w:val="00F67570"/>
    <w:rsid w:val="00F70537"/>
    <w:rsid w:val="00F7083F"/>
    <w:rsid w:val="00F718C9"/>
    <w:rsid w:val="00F725FC"/>
    <w:rsid w:val="00F73065"/>
    <w:rsid w:val="00F738C8"/>
    <w:rsid w:val="00F77C6B"/>
    <w:rsid w:val="00F84AFC"/>
    <w:rsid w:val="00F87DBB"/>
    <w:rsid w:val="00F97357"/>
    <w:rsid w:val="00F97858"/>
    <w:rsid w:val="00FA3B8E"/>
    <w:rsid w:val="00FB05F6"/>
    <w:rsid w:val="00FB0BB5"/>
    <w:rsid w:val="00FB5550"/>
    <w:rsid w:val="00FC018C"/>
    <w:rsid w:val="00FC26D0"/>
    <w:rsid w:val="00FC31ED"/>
    <w:rsid w:val="00FD0BCA"/>
    <w:rsid w:val="00FD202F"/>
    <w:rsid w:val="00FD473B"/>
    <w:rsid w:val="00FE1B70"/>
    <w:rsid w:val="00FF2122"/>
    <w:rsid w:val="00FF5198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5924"/>
  <w15:docId w15:val="{AD31EDA8-AA52-407D-9301-7607D8F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12">
    <w:name w:val="st12"/>
    <w:uiPriority w:val="99"/>
    <w:rsid w:val="008C62CD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eastAsiaTheme="minorEastAsia"/>
      <w:lang w:val="x-none" w:eastAsia="uk-UA"/>
    </w:rPr>
  </w:style>
  <w:style w:type="character" w:customStyle="1" w:styleId="st44">
    <w:name w:val="st44"/>
    <w:uiPriority w:val="99"/>
    <w:rsid w:val="008C62CD"/>
    <w:rPr>
      <w:b/>
      <w:bCs/>
      <w:color w:val="000000"/>
    </w:rPr>
  </w:style>
  <w:style w:type="paragraph" w:customStyle="1" w:styleId="st14">
    <w:name w:val="st14"/>
    <w:uiPriority w:val="99"/>
    <w:rsid w:val="008C62CD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lang w:val="x-none" w:eastAsia="uk-UA"/>
    </w:rPr>
  </w:style>
  <w:style w:type="character" w:customStyle="1" w:styleId="st42">
    <w:name w:val="st42"/>
    <w:uiPriority w:val="99"/>
    <w:rsid w:val="008C62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8791</Words>
  <Characters>5011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Олександр Дворський</cp:lastModifiedBy>
  <cp:revision>8</cp:revision>
  <dcterms:created xsi:type="dcterms:W3CDTF">2024-08-20T06:59:00Z</dcterms:created>
  <dcterms:modified xsi:type="dcterms:W3CDTF">2024-08-27T13:47:00Z</dcterms:modified>
</cp:coreProperties>
</file>