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9C" w:rsidRPr="00B339B9" w:rsidRDefault="00AC369C">
      <w:pPr>
        <w:spacing w:after="0" w:line="276" w:lineRule="auto"/>
        <w:ind w:left="360" w:right="360" w:firstLine="0"/>
        <w:jc w:val="right"/>
        <w:rPr>
          <w:lang w:val="uk-UA"/>
        </w:rPr>
      </w:pPr>
      <w:r>
        <w:rPr>
          <w:lang w:val="uk-UA"/>
        </w:rPr>
        <w:t>Додаток 2</w:t>
      </w:r>
    </w:p>
    <w:p w:rsidR="00AC369C" w:rsidRPr="00B339B9" w:rsidRDefault="00AC369C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 w:rsidRPr="00203B1F">
        <w:rPr>
          <w:b/>
          <w:lang w:val="uk-UA"/>
        </w:rPr>
        <w:t>Рекомендації</w:t>
      </w:r>
    </w:p>
    <w:p w:rsidR="00AC369C" w:rsidRPr="00B339B9" w:rsidRDefault="00AC369C">
      <w:pPr>
        <w:spacing w:after="0" w:line="276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щодо</w:t>
      </w:r>
      <w:bookmarkStart w:id="0" w:name="_GoBack"/>
      <w:bookmarkEnd w:id="0"/>
      <w:r w:rsidRPr="00B339B9">
        <w:rPr>
          <w:b/>
          <w:lang w:val="uk-UA"/>
        </w:rPr>
        <w:t xml:space="preserve"> проведення управителями об’єктів обстеження та оцінки ступеня безбар’єрності вулиць і доріг для маломобільних груп населення</w:t>
      </w:r>
    </w:p>
    <w:p w:rsidR="00AC369C" w:rsidRPr="00B339B9" w:rsidRDefault="00AC369C">
      <w:pPr>
        <w:spacing w:after="0" w:line="276" w:lineRule="auto"/>
        <w:ind w:left="20" w:right="360" w:firstLine="0"/>
        <w:jc w:val="left"/>
        <w:rPr>
          <w:b/>
          <w:lang w:val="uk-UA"/>
        </w:rPr>
      </w:pPr>
      <w:r w:rsidRPr="00B339B9">
        <w:rPr>
          <w:b/>
          <w:lang w:val="uk-UA"/>
        </w:rPr>
        <w:t xml:space="preserve"> </w:t>
      </w:r>
    </w:p>
    <w:p w:rsidR="00AC369C" w:rsidRPr="00B339B9" w:rsidRDefault="00AC369C">
      <w:pPr>
        <w:spacing w:after="0" w:line="276" w:lineRule="auto"/>
        <w:ind w:left="20" w:right="360" w:firstLine="0"/>
        <w:jc w:val="center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>Загальна інформація про об’єкт</w:t>
      </w:r>
    </w:p>
    <w:p w:rsidR="00AC369C" w:rsidRPr="00B339B9" w:rsidRDefault="00AC369C">
      <w:pPr>
        <w:spacing w:after="0" w:line="276" w:lineRule="auto"/>
        <w:ind w:left="20" w:right="360" w:firstLine="0"/>
        <w:jc w:val="left"/>
        <w:rPr>
          <w:b/>
          <w:sz w:val="24"/>
          <w:szCs w:val="24"/>
          <w:lang w:val="uk-UA"/>
        </w:rPr>
      </w:pPr>
      <w:r w:rsidRPr="00B339B9">
        <w:rPr>
          <w:b/>
          <w:sz w:val="24"/>
          <w:szCs w:val="24"/>
          <w:lang w:val="uk-UA"/>
        </w:rPr>
        <w:t xml:space="preserve"> </w:t>
      </w:r>
    </w:p>
    <w:tbl>
      <w:tblPr>
        <w:tblW w:w="95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795"/>
        <w:gridCol w:w="4605"/>
        <w:gridCol w:w="4140"/>
      </w:tblGrid>
      <w:tr w:rsidR="00AC369C" w:rsidRPr="00B339B9" w:rsidTr="00F211FA">
        <w:trPr>
          <w:trHeight w:val="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Трьохсвятительська</w:t>
            </w:r>
          </w:p>
        </w:tc>
      </w:tr>
      <w:tr w:rsidR="00AC369C" w:rsidRPr="00B339B9" w:rsidTr="00F211FA">
        <w:trPr>
          <w:trHeight w:val="57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highlight w:val="white"/>
                <w:lang w:val="uk-UA"/>
              </w:rPr>
              <w:t>ID з Єдиного державного реєстру адрес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C369C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Протяжність ділянки обстеження, км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0,511</w:t>
            </w:r>
          </w:p>
        </w:tc>
      </w:tr>
      <w:tr w:rsidR="00AC369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Кількість обстежених </w:t>
            </w:r>
            <w:r w:rsidRPr="00ED1F2E">
              <w:rPr>
                <w:b/>
                <w:sz w:val="24"/>
                <w:szCs w:val="24"/>
                <w:lang w:val="uk-UA"/>
              </w:rPr>
              <w:t>перехресть</w:t>
            </w:r>
            <w:r w:rsidRPr="00F211FA">
              <w:rPr>
                <w:sz w:val="24"/>
                <w:szCs w:val="24"/>
                <w:lang w:val="uk-UA"/>
              </w:rPr>
              <w:t xml:space="preserve"> та переходів вздовж вулиці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AC369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Наявність підземних та наземних переходів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0/2</w:t>
            </w:r>
          </w:p>
        </w:tc>
      </w:tr>
      <w:tr w:rsidR="00AC369C" w:rsidRPr="00B339B9" w:rsidTr="00F211FA">
        <w:trPr>
          <w:trHeight w:val="70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Кількість обстежених зупинок громадського транспорту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AC369C" w:rsidRPr="00B339B9" w:rsidTr="00F211FA">
        <w:trPr>
          <w:trHeight w:val="69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C369C" w:rsidRPr="00B339B9" w:rsidTr="00F211FA">
        <w:trPr>
          <w:trHeight w:val="63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6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69C" w:rsidRPr="00F211FA" w:rsidRDefault="00AC369C" w:rsidP="00F211F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12.08.2024</w:t>
            </w:r>
          </w:p>
        </w:tc>
      </w:tr>
    </w:tbl>
    <w:p w:rsidR="00AC369C" w:rsidRPr="00B339B9" w:rsidRDefault="00AC369C">
      <w:pPr>
        <w:spacing w:after="0" w:line="276" w:lineRule="auto"/>
        <w:ind w:left="40" w:right="360" w:firstLine="0"/>
        <w:jc w:val="left"/>
        <w:rPr>
          <w:sz w:val="24"/>
          <w:szCs w:val="24"/>
          <w:lang w:val="uk-UA"/>
        </w:rPr>
      </w:pPr>
      <w:r w:rsidRPr="00B339B9">
        <w:rPr>
          <w:sz w:val="24"/>
          <w:szCs w:val="24"/>
          <w:lang w:val="uk-UA"/>
        </w:rPr>
        <w:t xml:space="preserve"> </w:t>
      </w:r>
    </w:p>
    <w:p w:rsidR="00AC369C" w:rsidRDefault="00AC369C" w:rsidP="004436D8">
      <w:pPr>
        <w:spacing w:after="0" w:line="240" w:lineRule="auto"/>
        <w:ind w:right="0" w:firstLine="0"/>
        <w:jc w:val="center"/>
        <w:rPr>
          <w:b/>
          <w:bCs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Чек-лист 1</w:t>
      </w:r>
    </w:p>
    <w:p w:rsidR="00AC369C" w:rsidRPr="004436D8" w:rsidRDefault="00AC369C" w:rsidP="004436D8">
      <w:pPr>
        <w:spacing w:after="0" w:line="240" w:lineRule="auto"/>
        <w:ind w:right="0" w:firstLine="0"/>
        <w:rPr>
          <w:color w:val="auto"/>
          <w:sz w:val="24"/>
          <w:szCs w:val="24"/>
          <w:lang w:val="en-US" w:eastAsia="en-US"/>
        </w:rPr>
      </w:pPr>
    </w:p>
    <w:p w:rsidR="00AC369C" w:rsidRPr="004436D8" w:rsidRDefault="00AC369C" w:rsidP="004436D8">
      <w:pPr>
        <w:spacing w:after="0" w:line="240" w:lineRule="auto"/>
        <w:ind w:left="20" w:right="360" w:firstLine="0"/>
        <w:jc w:val="center"/>
        <w:rPr>
          <w:color w:val="auto"/>
          <w:sz w:val="24"/>
          <w:szCs w:val="24"/>
          <w:lang w:val="en-US"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Вулиці та дороги</w:t>
      </w:r>
    </w:p>
    <w:p w:rsidR="00AC369C" w:rsidRPr="004436D8" w:rsidRDefault="00AC369C" w:rsidP="004436D8">
      <w:pPr>
        <w:spacing w:after="0" w:line="240" w:lineRule="auto"/>
        <w:ind w:right="360" w:firstLine="0"/>
        <w:jc w:val="left"/>
        <w:rPr>
          <w:color w:val="auto"/>
          <w:sz w:val="24"/>
          <w:szCs w:val="24"/>
          <w:lang w:val="en-US" w:eastAsia="en-US"/>
        </w:rPr>
      </w:pPr>
      <w:r w:rsidRPr="004436D8">
        <w:rPr>
          <w:sz w:val="24"/>
          <w:szCs w:val="24"/>
          <w:lang w:val="en-US" w:eastAsia="en-US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6"/>
        <w:gridCol w:w="1783"/>
        <w:gridCol w:w="2089"/>
        <w:gridCol w:w="1676"/>
      </w:tblGrid>
      <w:tr w:rsidR="00AC369C" w:rsidRPr="004436D8" w:rsidTr="00F211FA">
        <w:trPr>
          <w:trHeight w:val="102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Критерії безбар’єрності для осіб з інвалідністю: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F211FA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AC369C" w:rsidRPr="004436D8" w:rsidTr="00F211FA">
        <w:trPr>
          <w:trHeight w:val="51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1.   Пішохідні шляхи руху вздовж вулиці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814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пішохідний шлях вільний від будь-яких споруд, огороджень або конструкцій (споруд торговельно- 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84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ширина по всіх довжині пішохідного шляху із зустрічними рухом не менше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211FA">
                <w:rPr>
                  <w:sz w:val="24"/>
                  <w:szCs w:val="24"/>
                  <w:lang w:val="uk-UA"/>
                </w:rPr>
                <w:t>1,8 м</w:t>
              </w:r>
            </w:smartTag>
            <w:r w:rsidRPr="00F211FA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395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пішохідні шляхи руху, що перетинаються, поєднуються на одному спільному рівні (наприклад, виконано пониження бордюрного каменю, пологі з’їзди);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77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покриття по всіх довжині пішохідної зони рівне без вибоїн (без застосування як верхнього шару покриття насипних або крупноструктурних матеріалів, що перешкоджають пересуванню осіб на кріслах колісних або з милицями);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785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5) якщо поздовжній уклон пішохідних доріжок або тротуарів перевищує 5 %, облаштовані сходи, які продубльовано пандусом, або передбачено спеціальні пологі обхідні шляхи;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522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6) вздовж пішохідної доріжки наявні зовнішні стандартні тактильні направляючі,  а саме: бордюрний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тактильно і за кольором;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672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7)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05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8) відсутні сходи на пішохідних шляхах руху, а за наявності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F211FA">
              <w:rPr>
                <w:sz w:val="24"/>
                <w:szCs w:val="24"/>
                <w:lang w:val="uk-UA"/>
              </w:rPr>
              <w:t xml:space="preserve"> вони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11FA">
              <w:rPr>
                <w:sz w:val="24"/>
                <w:szCs w:val="24"/>
                <w:lang w:val="uk-UA"/>
              </w:rPr>
              <w:t>дублюються пандусами;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653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9) всі поодинокі сходинки замінені пандусами;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279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10)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228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11) всі сходи в межах одного маршу однакові за формою в плані,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211FA">
                <w:rPr>
                  <w:sz w:val="24"/>
                  <w:szCs w:val="24"/>
                  <w:lang w:val="uk-UA"/>
                </w:rPr>
                <w:t>0,1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вертикальної - не менше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F211FA">
                <w:rPr>
                  <w:sz w:val="24"/>
                  <w:szCs w:val="24"/>
                  <w:lang w:val="uk-UA"/>
                </w:rPr>
                <w:t>0,05 м</w:t>
              </w:r>
            </w:smartTag>
            <w:r w:rsidRPr="00F211FA">
              <w:rPr>
                <w:sz w:val="24"/>
                <w:szCs w:val="24"/>
                <w:lang w:val="uk-UA"/>
              </w:rPr>
              <w:t>);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05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12) перед перешкодами, паралельно сходам, перед та після сходового маршу розташована попереджувальна тактильна смуга;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05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13) водостоки на тротуарах закриті решіткою з чарунками не більше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F211FA">
                <w:rPr>
                  <w:sz w:val="24"/>
                  <w:szCs w:val="24"/>
                  <w:lang w:val="uk-UA"/>
                </w:rPr>
                <w:t>1,5 см</w:t>
              </w:r>
            </w:smartTag>
            <w:r w:rsidRPr="00F211F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984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2. Наземні переходи, перехрестя та транспортні розв’язки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395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з тротуарів і пішохідних доріжок до пішохідних переходів, острівців безпеки або посадкових майданчиків облаштовані пологі з’їзди (пандуси) ухилом не більше ніж 8 %;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395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2) наявні попереджувальні тактильні смуги завширшки не менше ніж 0,3-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11FA">
                <w:rPr>
                  <w:sz w:val="24"/>
                  <w:szCs w:val="24"/>
                  <w:lang w:val="uk-UA"/>
                </w:rPr>
                <w:t>0,6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перед виходом на проїзну частину на всю ширину пішохідного переходу;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11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3) на регульованих пішохідних переходах облаштовано звукове оповіщення про зелене світло на світлофорі для пішоходів;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05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4) пішохідні переходи та велосипедні переїзди мають контрастне маркування та штучне освітлення темний час доби;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Наземні пішоходні переходи мають маркування в темний час доби</w:t>
            </w:r>
            <w:r w:rsidRPr="00F211FA">
              <w:rPr>
                <w:sz w:val="24"/>
                <w:szCs w:val="24"/>
                <w:lang w:val="uk-UA"/>
              </w:rPr>
              <w:t>  </w:t>
            </w:r>
          </w:p>
        </w:tc>
      </w:tr>
      <w:tr w:rsidR="00AC369C" w:rsidRPr="004436D8" w:rsidTr="00F211FA">
        <w:trPr>
          <w:trHeight w:val="57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F211FA">
              <w:rPr>
                <w:b/>
                <w:sz w:val="24"/>
                <w:szCs w:val="24"/>
                <w:lang w:val="uk-UA"/>
              </w:rPr>
              <w:t>3. Надземні та підземні переходи (за наявності)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05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1) обладнані пандусами, ліфтами або підйомниками, або їх продубльовано наземними пішохідними переходами;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C369C" w:rsidRPr="004436D8" w:rsidTr="00F211FA">
        <w:trPr>
          <w:trHeight w:val="3165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2) ухил пандуса становить не більше ніж 8 відсотків (на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211FA">
                <w:rPr>
                  <w:sz w:val="24"/>
                  <w:szCs w:val="24"/>
                  <w:lang w:val="uk-UA"/>
                </w:rPr>
                <w:t>1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211FA">
                <w:rPr>
                  <w:sz w:val="24"/>
                  <w:szCs w:val="24"/>
                  <w:lang w:val="uk-UA"/>
                </w:rPr>
                <w:t>8 см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підйому), ширина пандуса становить не менше ніж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F211FA">
                <w:rPr>
                  <w:sz w:val="24"/>
                  <w:szCs w:val="24"/>
                  <w:lang w:val="uk-UA"/>
                </w:rPr>
                <w:t>1,2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в просвіті, уздовж обох боків усіх сходів і пандусів встановлено огорожу з поручнями, поручні пандусів розташовані на висоті 0,7 і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завершальні частини поручнів продовжені по горизонталі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F211FA">
                <w:rPr>
                  <w:sz w:val="24"/>
                  <w:szCs w:val="24"/>
                  <w:lang w:val="uk-UA"/>
                </w:rPr>
                <w:t>0,3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 (як вгорі, так і внизу);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  <w:tr w:rsidR="00AC369C" w:rsidRPr="004436D8" w:rsidTr="00F211FA">
        <w:trPr>
          <w:trHeight w:val="1230"/>
        </w:trPr>
        <w:tc>
          <w:tcPr>
            <w:tcW w:w="4106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6) за наявності ліфта, ширина дверей ліфта у просвіті не менше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211FA">
                <w:rPr>
                  <w:sz w:val="24"/>
                  <w:szCs w:val="24"/>
                  <w:lang w:val="uk-UA"/>
                </w:rPr>
                <w:t>0,9 м</w:t>
              </w:r>
            </w:smartTag>
            <w:r w:rsidRPr="00F211FA">
              <w:rPr>
                <w:sz w:val="24"/>
                <w:szCs w:val="24"/>
                <w:lang w:val="uk-UA"/>
              </w:rPr>
              <w:t xml:space="preserve">, розмір кабіни не менше ніж 1,1 х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F211FA">
                <w:rPr>
                  <w:sz w:val="24"/>
                  <w:szCs w:val="24"/>
                  <w:lang w:val="uk-UA"/>
                </w:rPr>
                <w:t>1,4 м</w:t>
              </w:r>
            </w:smartTag>
            <w:r w:rsidRPr="00F211FA">
              <w:rPr>
                <w:sz w:val="24"/>
                <w:szCs w:val="24"/>
                <w:lang w:val="uk-UA"/>
              </w:rPr>
              <w:t>,  із виділеними тактильно кнопками.</w:t>
            </w:r>
          </w:p>
        </w:tc>
        <w:tc>
          <w:tcPr>
            <w:tcW w:w="1759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91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678" w:type="dxa"/>
          </w:tcPr>
          <w:p w:rsidR="00AC369C" w:rsidRPr="00F211FA" w:rsidRDefault="00AC369C" w:rsidP="00F211FA">
            <w:pPr>
              <w:spacing w:line="240" w:lineRule="auto"/>
              <w:ind w:left="171" w:firstLine="0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AC369C" w:rsidRPr="00407059" w:rsidRDefault="00AC369C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eastAsia="en-US"/>
        </w:rPr>
        <w:t>Висновок</w:t>
      </w:r>
      <w:r>
        <w:rPr>
          <w:b/>
          <w:bCs/>
          <w:sz w:val="24"/>
          <w:szCs w:val="24"/>
          <w:lang w:val="uk-UA" w:eastAsia="en-US"/>
        </w:rPr>
        <w:t>: о</w:t>
      </w:r>
      <w:r>
        <w:rPr>
          <w:b/>
          <w:bCs/>
          <w:sz w:val="24"/>
          <w:szCs w:val="24"/>
          <w:u w:val="single"/>
          <w:lang w:val="uk-UA" w:eastAsia="en-US"/>
        </w:rPr>
        <w:t>б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єкт є частково безбар</w:t>
      </w:r>
      <w:r w:rsidRPr="00CE7DA3">
        <w:rPr>
          <w:b/>
          <w:bCs/>
          <w:sz w:val="24"/>
          <w:szCs w:val="24"/>
          <w:u w:val="single"/>
          <w:lang w:eastAsia="en-US"/>
        </w:rPr>
        <w:t>`</w:t>
      </w:r>
      <w:r>
        <w:rPr>
          <w:b/>
          <w:bCs/>
          <w:sz w:val="24"/>
          <w:szCs w:val="24"/>
          <w:u w:val="single"/>
          <w:lang w:val="uk-UA" w:eastAsia="en-US"/>
        </w:rPr>
        <w:t>єрним</w:t>
      </w:r>
      <w:r w:rsidRPr="004436D8">
        <w:rPr>
          <w:b/>
          <w:bCs/>
          <w:sz w:val="24"/>
          <w:szCs w:val="24"/>
          <w:lang w:eastAsia="en-US"/>
        </w:rPr>
        <w:t xml:space="preserve"> </w:t>
      </w:r>
    </w:p>
    <w:p w:rsidR="00AC369C" w:rsidRPr="004436D8" w:rsidRDefault="00AC369C" w:rsidP="004436D8">
      <w:pPr>
        <w:spacing w:after="0" w:line="240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C369C" w:rsidRDefault="00AC369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eastAsia="en-US"/>
        </w:rPr>
      </w:pPr>
    </w:p>
    <w:p w:rsidR="00AC369C" w:rsidRDefault="00AC369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C369C" w:rsidRDefault="00AC369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C369C" w:rsidRPr="004F6B6D" w:rsidRDefault="00AC369C" w:rsidP="004436D8">
      <w:pPr>
        <w:spacing w:after="0" w:line="240" w:lineRule="auto"/>
        <w:ind w:left="20" w:right="360" w:firstLine="0"/>
        <w:jc w:val="center"/>
        <w:rPr>
          <w:b/>
          <w:bCs/>
          <w:sz w:val="24"/>
          <w:szCs w:val="24"/>
          <w:lang w:val="uk-UA" w:eastAsia="en-US"/>
        </w:rPr>
      </w:pPr>
    </w:p>
    <w:p w:rsidR="00AC369C" w:rsidRPr="004436D8" w:rsidRDefault="00AC369C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Чек-лист 2</w:t>
      </w:r>
    </w:p>
    <w:p w:rsidR="00AC369C" w:rsidRPr="004436D8" w:rsidRDefault="00AC369C" w:rsidP="004436D8">
      <w:pPr>
        <w:spacing w:after="0" w:line="276" w:lineRule="auto"/>
        <w:ind w:left="20" w:right="360" w:firstLine="0"/>
        <w:jc w:val="center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eastAsia="en-US"/>
        </w:rPr>
        <w:t>Зупинка громадського транспорту</w:t>
      </w:r>
    </w:p>
    <w:p w:rsidR="00AC369C" w:rsidRPr="004436D8" w:rsidRDefault="00AC369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eastAsia="en-US"/>
        </w:rPr>
      </w:pPr>
      <w:r w:rsidRPr="004436D8">
        <w:rPr>
          <w:b/>
          <w:bCs/>
          <w:sz w:val="24"/>
          <w:szCs w:val="24"/>
          <w:lang w:val="en-US" w:eastAsia="en-US"/>
        </w:rPr>
        <w:t> </w:t>
      </w:r>
    </w:p>
    <w:p w:rsidR="00AC369C" w:rsidRPr="004436D8" w:rsidRDefault="00AC369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Назва зупинки _______________________ </w:t>
      </w:r>
    </w:p>
    <w:p w:rsidR="00AC369C" w:rsidRPr="004436D8" w:rsidRDefault="00AC369C" w:rsidP="004436D8">
      <w:pPr>
        <w:spacing w:after="0" w:line="276" w:lineRule="auto"/>
        <w:ind w:left="20" w:right="36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 xml:space="preserve">Види громадського транспорту __________ (автобуси, тролейбуси, трамваї, метрополітен) </w:t>
      </w:r>
    </w:p>
    <w:p w:rsidR="00AC369C" w:rsidRPr="004436D8" w:rsidRDefault="00AC369C" w:rsidP="004436D8">
      <w:pPr>
        <w:spacing w:after="0" w:line="240" w:lineRule="auto"/>
        <w:ind w:left="40" w:right="360" w:firstLine="0"/>
        <w:jc w:val="left"/>
        <w:rPr>
          <w:sz w:val="24"/>
          <w:szCs w:val="24"/>
          <w:lang w:val="uk-UA" w:eastAsia="en-US"/>
        </w:rPr>
      </w:pPr>
      <w:r w:rsidRPr="004436D8">
        <w:rPr>
          <w:sz w:val="24"/>
          <w:szCs w:val="24"/>
          <w:lang w:val="uk-UA" w:eastAsia="en-US"/>
        </w:rPr>
        <w:t>Сторона вулиці: ________________(парна/непарна)</w:t>
      </w:r>
    </w:p>
    <w:p w:rsidR="00AC369C" w:rsidRPr="004436D8" w:rsidRDefault="00AC369C" w:rsidP="004436D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3"/>
        <w:gridCol w:w="1594"/>
        <w:gridCol w:w="1821"/>
        <w:gridCol w:w="1341"/>
      </w:tblGrid>
      <w:tr w:rsidR="00AC369C" w:rsidRPr="004436D8" w:rsidTr="004436D8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Критерії безбар’єрності для осіб з інвалідністю: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Відповідність критеріям</w:t>
            </w: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br/>
              <w:t xml:space="preserve"> (так або 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b/>
                <w:bCs/>
                <w:sz w:val="24"/>
                <w:szCs w:val="24"/>
                <w:lang w:val="uk-UA" w:eastAsia="en-US"/>
              </w:rPr>
              <w:t>Коментарі</w:t>
            </w:r>
          </w:p>
        </w:tc>
      </w:tr>
      <w:tr w:rsidR="00AC369C" w:rsidRPr="004436D8" w:rsidTr="004436D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1) на зупинках маршрутного транспорту облаштовано навіс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C369C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 xml:space="preserve">2) облаштовано місця для сидіння, лави з навісом (павільйони) на зупинках установлені на відстані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проїзної частини, довжина лави - не менше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</w:tr>
      <w:tr w:rsidR="00AC369C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3) наявна попереджувальна тактильна смуга біля крайки посадкового майданчика та інформаційна тактильна смуга, що вказує місце посадки в міський транспорт (передні двері);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C369C" w:rsidRPr="004436D8" w:rsidTr="004436D8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4) наявні засоби інформування пасажирів (електронні табло, таблиці з розкладом руху маршрутних транспортних засобів, схемою руху тощо);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C369C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5) у розкладі руху громадського транспорту наявні щогодинні доступні маршрути для осіб на кріслі колісному та інших маломобільних груп населення, позначені міжнародним символом доступності (наявний доступний громадський транспорт, що рухається через зупинку);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C369C" w:rsidRPr="004436D8" w:rsidTr="004436D8">
        <w:trPr>
          <w:trHeight w:val="19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  на пішохідній зоні облаштовані тактильні елементи доступності від зупинки до головних входів закладів соціальної інфраструктури (закладів освіти, охорони здоров’я, соціального захисту населення, культури,  ЦНАП, спортивних об’єктів);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C369C" w:rsidRPr="004436D8" w:rsidTr="004436D8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before="120"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6) висота посадкового майданчика становить 20-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25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автомобільної дороги та розташована у рівень з  низькою підлогою рухомого складу громадського транспорту, або не нижче ніж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436D8">
                <w:rPr>
                  <w:sz w:val="24"/>
                  <w:szCs w:val="24"/>
                  <w:lang w:val="uk-UA" w:eastAsia="en-US"/>
                </w:rPr>
                <w:t>3 см</w:t>
              </w:r>
            </w:smartTag>
            <w:r w:rsidRPr="004436D8">
              <w:rPr>
                <w:sz w:val="24"/>
                <w:szCs w:val="24"/>
                <w:lang w:val="uk-UA" w:eastAsia="en-US"/>
              </w:rPr>
              <w:t xml:space="preserve"> від рівня підлоги рухомого складу;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C369C" w:rsidRPr="004436D8" w:rsidTr="004436D8">
        <w:trPr>
          <w:trHeight w:val="2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7) доступ до зупинки вільний від будь-яких споруд, огороджень або конструкцій (споруд торговельно-побутового призначення, колон, різноманітних опор, інформаційних стояків, дорожніх огорож, стовпчиків, півкуль тощо), які перешкоджають пішохідному руху;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  <w:tr w:rsidR="00AC369C" w:rsidRPr="004436D8" w:rsidTr="004436D8">
        <w:trPr>
          <w:trHeight w:val="1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left="140" w:right="0" w:firstLine="0"/>
              <w:jc w:val="left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8) у разі обстеження зупинок швидкісного трамваю, станцій метрополітену забезпечено доступ до платформ, сходи або ескалатори продубльовано пандусами, ліфтами,  підйомниками.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69C" w:rsidRPr="004436D8" w:rsidRDefault="00AC369C" w:rsidP="004436D8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uk-UA" w:eastAsia="en-US"/>
              </w:rPr>
            </w:pPr>
            <w:r w:rsidRPr="004436D8"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AC369C" w:rsidRPr="004436D8" w:rsidRDefault="00AC369C" w:rsidP="004436D8">
      <w:pPr>
        <w:spacing w:before="240" w:after="240" w:line="240" w:lineRule="auto"/>
        <w:ind w:right="0" w:firstLine="0"/>
        <w:jc w:val="left"/>
        <w:rPr>
          <w:color w:val="auto"/>
          <w:sz w:val="24"/>
          <w:szCs w:val="24"/>
          <w:lang w:val="uk-UA" w:eastAsia="en-US"/>
        </w:rPr>
      </w:pPr>
      <w:r w:rsidRPr="004436D8">
        <w:rPr>
          <w:b/>
          <w:bCs/>
          <w:sz w:val="24"/>
          <w:szCs w:val="24"/>
          <w:lang w:val="uk-UA" w:eastAsia="en-US"/>
        </w:rPr>
        <w:t xml:space="preserve">Висновок: </w:t>
      </w:r>
      <w:r w:rsidRPr="004436D8">
        <w:rPr>
          <w:i/>
          <w:iCs/>
          <w:sz w:val="24"/>
          <w:szCs w:val="24"/>
          <w:lang w:val="uk-UA" w:eastAsia="en-US"/>
        </w:rPr>
        <w:t>____________________________________________________________________</w:t>
      </w:r>
      <w:r w:rsidRPr="004436D8">
        <w:rPr>
          <w:b/>
          <w:bCs/>
          <w:sz w:val="24"/>
          <w:szCs w:val="24"/>
          <w:lang w:val="uk-UA" w:eastAsia="en-US"/>
        </w:rPr>
        <w:t>*</w:t>
      </w:r>
    </w:p>
    <w:p w:rsidR="00AC369C" w:rsidRPr="004436D8" w:rsidRDefault="00AC369C" w:rsidP="00B339B9">
      <w:pPr>
        <w:widowControl w:val="0"/>
        <w:spacing w:before="120" w:after="120" w:line="240" w:lineRule="auto"/>
        <w:rPr>
          <w:sz w:val="24"/>
          <w:szCs w:val="24"/>
          <w:lang w:val="uk-UA"/>
        </w:rPr>
      </w:pPr>
    </w:p>
    <w:p w:rsidR="00AC369C" w:rsidRPr="004436D8" w:rsidRDefault="00AC369C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Примітки:</w:t>
      </w:r>
    </w:p>
    <w:p w:rsidR="00AC369C" w:rsidRPr="004436D8" w:rsidRDefault="00AC369C" w:rsidP="00B339B9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4436D8">
        <w:rPr>
          <w:sz w:val="24"/>
          <w:szCs w:val="24"/>
          <w:lang w:val="uk-UA"/>
        </w:rPr>
        <w:t>*Зазначається: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226"/>
        <w:gridCol w:w="3227"/>
      </w:tblGrid>
      <w:tr w:rsidR="00AC369C" w:rsidRPr="004436D8" w:rsidTr="00F211FA">
        <w:tc>
          <w:tcPr>
            <w:tcW w:w="3226" w:type="dxa"/>
            <w:vAlign w:val="center"/>
          </w:tcPr>
          <w:p w:rsidR="00AC369C" w:rsidRPr="00F211FA" w:rsidRDefault="00AC369C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безбар’єрним</w:t>
            </w:r>
          </w:p>
        </w:tc>
        <w:tc>
          <w:tcPr>
            <w:tcW w:w="3226" w:type="dxa"/>
            <w:vAlign w:val="center"/>
          </w:tcPr>
          <w:p w:rsidR="00AC369C" w:rsidRPr="00F211FA" w:rsidRDefault="00AC369C" w:rsidP="00F211FA">
            <w:pPr>
              <w:widowControl w:val="0"/>
              <w:spacing w:before="120" w:after="12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частково безбар’єрним</w:t>
            </w:r>
          </w:p>
        </w:tc>
        <w:tc>
          <w:tcPr>
            <w:tcW w:w="3227" w:type="dxa"/>
            <w:vAlign w:val="center"/>
          </w:tcPr>
          <w:p w:rsidR="00AC369C" w:rsidRPr="00F211FA" w:rsidRDefault="00AC369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AC369C" w:rsidRPr="004436D8" w:rsidTr="00F211FA">
        <w:tc>
          <w:tcPr>
            <w:tcW w:w="3226" w:type="dxa"/>
          </w:tcPr>
          <w:p w:rsidR="00AC369C" w:rsidRPr="00F211FA" w:rsidRDefault="00AC369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всім критеріям безбар’єрності</w:t>
            </w:r>
          </w:p>
        </w:tc>
        <w:tc>
          <w:tcPr>
            <w:tcW w:w="3226" w:type="dxa"/>
          </w:tcPr>
          <w:p w:rsidR="00AC369C" w:rsidRPr="00F211FA" w:rsidRDefault="00AC369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>Забезпечено відповідність критичним критеріям безбар’єрності</w:t>
            </w:r>
          </w:p>
        </w:tc>
        <w:tc>
          <w:tcPr>
            <w:tcW w:w="3227" w:type="dxa"/>
          </w:tcPr>
          <w:p w:rsidR="00AC369C" w:rsidRPr="00F211FA" w:rsidRDefault="00AC369C" w:rsidP="00F211FA">
            <w:pPr>
              <w:widowControl w:val="0"/>
              <w:spacing w:after="0" w:line="240" w:lineRule="auto"/>
              <w:ind w:firstLine="22"/>
              <w:jc w:val="left"/>
              <w:rPr>
                <w:sz w:val="24"/>
                <w:szCs w:val="24"/>
                <w:lang w:val="uk-UA"/>
              </w:rPr>
            </w:pPr>
            <w:r w:rsidRPr="00F211FA">
              <w:rPr>
                <w:sz w:val="24"/>
                <w:szCs w:val="24"/>
                <w:lang w:val="uk-UA"/>
              </w:rPr>
              <w:t xml:space="preserve">Не забезпечено відповідності критеріям безбар’єрності </w:t>
            </w:r>
          </w:p>
        </w:tc>
      </w:tr>
    </w:tbl>
    <w:p w:rsidR="00AC369C" w:rsidRDefault="00AC369C" w:rsidP="00913D12">
      <w:pPr>
        <w:rPr>
          <w:sz w:val="24"/>
          <w:szCs w:val="24"/>
        </w:rPr>
      </w:pPr>
    </w:p>
    <w:sectPr w:rsidR="00AC369C" w:rsidSect="00853CE9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9C" w:rsidRDefault="00AC369C">
      <w:pPr>
        <w:spacing w:after="0" w:line="240" w:lineRule="auto"/>
      </w:pPr>
      <w:r>
        <w:separator/>
      </w:r>
    </w:p>
  </w:endnote>
  <w:endnote w:type="continuationSeparator" w:id="0">
    <w:p w:rsidR="00AC369C" w:rsidRDefault="00AC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9C" w:rsidRDefault="00AC369C">
      <w:pPr>
        <w:spacing w:after="0" w:line="240" w:lineRule="auto"/>
      </w:pPr>
      <w:r>
        <w:separator/>
      </w:r>
    </w:p>
  </w:footnote>
  <w:footnote w:type="continuationSeparator" w:id="0">
    <w:p w:rsidR="00AC369C" w:rsidRDefault="00AC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9C" w:rsidRPr="00913D12" w:rsidRDefault="00AC369C">
    <w:pP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913D12">
      <w:rPr>
        <w:sz w:val="24"/>
        <w:szCs w:val="24"/>
      </w:rPr>
      <w:fldChar w:fldCharType="begin"/>
    </w:r>
    <w:r w:rsidRPr="00913D12">
      <w:rPr>
        <w:sz w:val="24"/>
        <w:szCs w:val="24"/>
      </w:rPr>
      <w:instrText>PAGE</w:instrText>
    </w:r>
    <w:r w:rsidRPr="00913D1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13D12">
      <w:rPr>
        <w:sz w:val="24"/>
        <w:szCs w:val="24"/>
      </w:rPr>
      <w:fldChar w:fldCharType="end"/>
    </w:r>
  </w:p>
  <w:p w:rsidR="00AC369C" w:rsidRDefault="00AC369C">
    <w:pPr>
      <w:tabs>
        <w:tab w:val="center" w:pos="4844"/>
        <w:tab w:val="right" w:pos="9689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9F9"/>
    <w:multiLevelType w:val="hybridMultilevel"/>
    <w:tmpl w:val="CAD017AA"/>
    <w:lvl w:ilvl="0" w:tplc="92CABFBA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46"/>
    <w:rsid w:val="00036BC9"/>
    <w:rsid w:val="000D152B"/>
    <w:rsid w:val="0014638A"/>
    <w:rsid w:val="00203B1F"/>
    <w:rsid w:val="002851C0"/>
    <w:rsid w:val="002B0EB9"/>
    <w:rsid w:val="00304F26"/>
    <w:rsid w:val="003232BB"/>
    <w:rsid w:val="003918B6"/>
    <w:rsid w:val="00407059"/>
    <w:rsid w:val="004436D8"/>
    <w:rsid w:val="00475BF3"/>
    <w:rsid w:val="004A4E46"/>
    <w:rsid w:val="004C2BB8"/>
    <w:rsid w:val="004F6B6D"/>
    <w:rsid w:val="005F59D2"/>
    <w:rsid w:val="006361CC"/>
    <w:rsid w:val="007633DE"/>
    <w:rsid w:val="00853CE9"/>
    <w:rsid w:val="008707F9"/>
    <w:rsid w:val="009033A1"/>
    <w:rsid w:val="00913D12"/>
    <w:rsid w:val="00954518"/>
    <w:rsid w:val="00957FF6"/>
    <w:rsid w:val="009B21EB"/>
    <w:rsid w:val="009C3EB4"/>
    <w:rsid w:val="009E3326"/>
    <w:rsid w:val="00A2150A"/>
    <w:rsid w:val="00A272FC"/>
    <w:rsid w:val="00AC369C"/>
    <w:rsid w:val="00B339B9"/>
    <w:rsid w:val="00B608E7"/>
    <w:rsid w:val="00B704D1"/>
    <w:rsid w:val="00B7577A"/>
    <w:rsid w:val="00B92D91"/>
    <w:rsid w:val="00BC40B7"/>
    <w:rsid w:val="00C464B7"/>
    <w:rsid w:val="00CE7DA3"/>
    <w:rsid w:val="00EC3408"/>
    <w:rsid w:val="00ED1F2E"/>
    <w:rsid w:val="00F211FA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BB"/>
    <w:pPr>
      <w:spacing w:after="151" w:line="253" w:lineRule="auto"/>
      <w:ind w:right="2" w:firstLine="556"/>
      <w:jc w:val="both"/>
    </w:pPr>
    <w:rPr>
      <w:color w:val="000000"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3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CE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3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3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3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3408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3408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3408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3408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3408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3408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53C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C3408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853CE9"/>
    <w:pPr>
      <w:spacing w:after="151" w:line="253" w:lineRule="auto"/>
      <w:ind w:right="2" w:firstLine="556"/>
      <w:jc w:val="both"/>
    </w:pPr>
    <w:rPr>
      <w:sz w:val="28"/>
      <w:szCs w:val="28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3232BB"/>
    <w:pPr>
      <w:ind w:left="720"/>
      <w:contextualSpacing/>
    </w:pPr>
  </w:style>
  <w:style w:type="table" w:styleId="TableGrid">
    <w:name w:val="Table Grid"/>
    <w:basedOn w:val="TableNormal"/>
    <w:uiPriority w:val="99"/>
    <w:rsid w:val="003232BB"/>
    <w:rPr>
      <w:rFonts w:ascii="Calibri" w:hAnsi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3232BB"/>
    <w:rPr>
      <w:color w:val="000000"/>
    </w:rPr>
  </w:style>
  <w:style w:type="paragraph" w:customStyle="1" w:styleId="st14">
    <w:name w:val="st14"/>
    <w:uiPriority w:val="99"/>
    <w:rsid w:val="003232BB"/>
    <w:pPr>
      <w:widowControl w:val="0"/>
      <w:autoSpaceDE w:val="0"/>
      <w:autoSpaceDN w:val="0"/>
      <w:adjustRightInd w:val="0"/>
      <w:spacing w:before="120" w:after="120"/>
      <w:ind w:right="2" w:firstLine="556"/>
      <w:jc w:val="both"/>
    </w:pPr>
    <w:rPr>
      <w:sz w:val="24"/>
      <w:szCs w:val="24"/>
    </w:rPr>
  </w:style>
  <w:style w:type="paragraph" w:customStyle="1" w:styleId="st8">
    <w:name w:val="st8"/>
    <w:uiPriority w:val="99"/>
    <w:rsid w:val="003232BB"/>
    <w:pPr>
      <w:widowControl w:val="0"/>
      <w:autoSpaceDE w:val="0"/>
      <w:autoSpaceDN w:val="0"/>
      <w:adjustRightInd w:val="0"/>
      <w:spacing w:after="120"/>
      <w:ind w:right="2" w:firstLine="556"/>
      <w:jc w:val="both"/>
    </w:pPr>
    <w:rPr>
      <w:sz w:val="24"/>
      <w:szCs w:val="24"/>
    </w:rPr>
  </w:style>
  <w:style w:type="character" w:customStyle="1" w:styleId="st82">
    <w:name w:val="st82"/>
    <w:uiPriority w:val="99"/>
    <w:rsid w:val="003232BB"/>
    <w:rPr>
      <w:color w:val="000000"/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53CE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3408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">
    <w:name w:val="Стиль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BB"/>
    <w:rPr>
      <w:rFonts w:cs="Times New Roman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rsid w:val="003232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BB"/>
    <w:rPr>
      <w:rFonts w:cs="Times New Roman"/>
      <w:color w:val="000000"/>
      <w:lang w:val="ru-RU" w:eastAsia="ru-RU"/>
    </w:rPr>
  </w:style>
  <w:style w:type="table" w:customStyle="1" w:styleId="5">
    <w:name w:val="Стиль5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Стиль4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Стиль3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basedOn w:val="TableNormal2"/>
    <w:uiPriority w:val="99"/>
    <w:rsid w:val="00853C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rsid w:val="004436D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6</Pages>
  <Words>4539</Words>
  <Characters>2588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Тамара</cp:lastModifiedBy>
  <cp:revision>14</cp:revision>
  <dcterms:created xsi:type="dcterms:W3CDTF">2024-03-06T14:49:00Z</dcterms:created>
  <dcterms:modified xsi:type="dcterms:W3CDTF">2024-08-30T10:41:00Z</dcterms:modified>
</cp:coreProperties>
</file>