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759D" w14:textId="78843445" w:rsidR="000E0FDE" w:rsidRPr="00A050AB" w:rsidRDefault="00395215" w:rsidP="00A2304A">
      <w:pPr>
        <w:jc w:val="center"/>
        <w:rPr>
          <w:b/>
          <w:sz w:val="28"/>
          <w:szCs w:val="28"/>
          <w:lang w:val="uk-UA" w:eastAsia="ru-RU"/>
        </w:rPr>
      </w:pPr>
      <w:r>
        <w:rPr>
          <w:b/>
          <w:sz w:val="28"/>
          <w:szCs w:val="28"/>
          <w:lang w:val="uk-UA" w:eastAsia="ru-RU"/>
        </w:rPr>
        <w:t>КВАЛІФІ</w:t>
      </w:r>
      <w:r w:rsidR="005318CE" w:rsidRPr="00A050AB">
        <w:rPr>
          <w:b/>
          <w:sz w:val="28"/>
          <w:szCs w:val="28"/>
          <w:lang w:val="uk-UA" w:eastAsia="ru-RU"/>
        </w:rPr>
        <w:t xml:space="preserve">КАЦІЙНІ </w:t>
      </w:r>
      <w:r w:rsidR="000E0FDE" w:rsidRPr="00A050AB">
        <w:rPr>
          <w:b/>
          <w:sz w:val="28"/>
          <w:szCs w:val="28"/>
          <w:lang w:val="uk-UA" w:eastAsia="ru-RU"/>
        </w:rPr>
        <w:t>ВИМОГИ</w:t>
      </w:r>
    </w:p>
    <w:p w14:paraId="79F3E1B9" w14:textId="38C0B18B" w:rsidR="00A2304A" w:rsidRPr="00A050AB" w:rsidRDefault="000E0FDE" w:rsidP="00237270">
      <w:pPr>
        <w:jc w:val="center"/>
        <w:rPr>
          <w:b/>
          <w:sz w:val="28"/>
          <w:szCs w:val="28"/>
          <w:lang w:val="uk-UA" w:eastAsia="ru-RU"/>
        </w:rPr>
      </w:pPr>
      <w:r w:rsidRPr="00A050AB">
        <w:rPr>
          <w:b/>
          <w:sz w:val="28"/>
          <w:szCs w:val="28"/>
          <w:lang w:val="uk-UA" w:eastAsia="ru-RU"/>
        </w:rPr>
        <w:t>до</w:t>
      </w:r>
      <w:r w:rsidR="00436228" w:rsidRPr="00A050AB">
        <w:rPr>
          <w:b/>
          <w:sz w:val="28"/>
          <w:szCs w:val="28"/>
          <w:lang w:val="uk-UA" w:eastAsia="ru-RU"/>
        </w:rPr>
        <w:t xml:space="preserve"> вакантної посади</w:t>
      </w:r>
      <w:r w:rsidR="00A050AB" w:rsidRPr="00A050AB">
        <w:rPr>
          <w:b/>
          <w:sz w:val="28"/>
          <w:szCs w:val="28"/>
          <w:lang w:val="uk-UA" w:eastAsia="ru-RU"/>
        </w:rPr>
        <w:t xml:space="preserve"> </w:t>
      </w:r>
      <w:r w:rsidR="005655FD">
        <w:rPr>
          <w:b/>
          <w:sz w:val="28"/>
          <w:szCs w:val="28"/>
          <w:lang w:val="uk-UA" w:eastAsia="ru-RU"/>
        </w:rPr>
        <w:t xml:space="preserve">головного спеціаліста </w:t>
      </w:r>
      <w:r w:rsidR="00155318">
        <w:rPr>
          <w:b/>
          <w:sz w:val="28"/>
          <w:szCs w:val="28"/>
          <w:lang w:val="uk-UA" w:eastAsia="ru-RU"/>
        </w:rPr>
        <w:t>відділу фінансів та звітності у</w:t>
      </w:r>
      <w:r w:rsidR="00395215">
        <w:rPr>
          <w:b/>
          <w:sz w:val="28"/>
          <w:szCs w:val="28"/>
          <w:lang w:val="uk-UA" w:eastAsia="ru-RU"/>
        </w:rPr>
        <w:t>правління соціальної та ветеранської політик</w:t>
      </w:r>
      <w:r w:rsidR="005655FD">
        <w:rPr>
          <w:b/>
          <w:sz w:val="28"/>
          <w:szCs w:val="28"/>
          <w:lang w:val="uk-UA" w:eastAsia="ru-RU"/>
        </w:rPr>
        <w:t>и</w:t>
      </w:r>
      <w:r w:rsidR="00395215">
        <w:rPr>
          <w:b/>
          <w:sz w:val="28"/>
          <w:szCs w:val="28"/>
          <w:lang w:val="uk-UA" w:eastAsia="ru-RU"/>
        </w:rPr>
        <w:t xml:space="preserve"> </w:t>
      </w:r>
      <w:r w:rsidR="00656F5E">
        <w:rPr>
          <w:b/>
          <w:sz w:val="28"/>
          <w:szCs w:val="28"/>
          <w:lang w:val="uk-UA" w:eastAsia="ru-RU"/>
        </w:rPr>
        <w:t xml:space="preserve"> </w:t>
      </w:r>
      <w:r w:rsidR="007D3354">
        <w:rPr>
          <w:b/>
          <w:sz w:val="28"/>
          <w:szCs w:val="28"/>
          <w:lang w:val="uk-UA" w:eastAsia="ru-RU"/>
        </w:rPr>
        <w:t>Святошин</w:t>
      </w:r>
      <w:r w:rsidR="00AC265D" w:rsidRPr="00A050AB">
        <w:rPr>
          <w:b/>
          <w:sz w:val="28"/>
          <w:szCs w:val="28"/>
          <w:lang w:val="uk-UA" w:eastAsia="ru-RU"/>
        </w:rPr>
        <w:t>ської районної в місті Києві державної адміністрації</w:t>
      </w:r>
      <w:r w:rsidR="00A050AB" w:rsidRPr="00A050AB">
        <w:rPr>
          <w:b/>
          <w:sz w:val="28"/>
          <w:szCs w:val="28"/>
          <w:lang w:val="uk-UA" w:eastAsia="ru-RU"/>
        </w:rPr>
        <w:t xml:space="preserve"> </w:t>
      </w:r>
      <w:r w:rsidR="00A2304A" w:rsidRPr="00A050AB">
        <w:rPr>
          <w:b/>
          <w:sz w:val="28"/>
          <w:szCs w:val="28"/>
          <w:lang w:val="uk-UA" w:eastAsia="ru-RU"/>
        </w:rPr>
        <w:t>(категорія «</w:t>
      </w:r>
      <w:r w:rsidR="00D849D6" w:rsidRPr="00A050AB">
        <w:rPr>
          <w:b/>
          <w:sz w:val="28"/>
          <w:szCs w:val="28"/>
          <w:lang w:val="uk-UA" w:eastAsia="ru-RU"/>
        </w:rPr>
        <w:t>Б</w:t>
      </w:r>
      <w:r w:rsidR="00A2304A" w:rsidRPr="00A050AB">
        <w:rPr>
          <w:b/>
          <w:sz w:val="28"/>
          <w:szCs w:val="28"/>
          <w:lang w:val="uk-UA" w:eastAsia="ru-RU"/>
        </w:rPr>
        <w:t>»)</w:t>
      </w:r>
    </w:p>
    <w:p w14:paraId="1C27604F" w14:textId="77777777" w:rsidR="00237270" w:rsidRPr="00A050AB" w:rsidRDefault="00237270" w:rsidP="00A2304A">
      <w:pPr>
        <w:ind w:left="57"/>
        <w:jc w:val="center"/>
        <w:rPr>
          <w:b/>
          <w:sz w:val="6"/>
          <w:szCs w:val="6"/>
          <w:lang w:val="uk-UA" w:eastAsia="ru-RU"/>
        </w:rPr>
      </w:pPr>
    </w:p>
    <w:p w14:paraId="2DA671F8" w14:textId="77777777" w:rsidR="00A2304A" w:rsidRPr="00A050AB" w:rsidRDefault="00A2304A" w:rsidP="00A2304A">
      <w:pPr>
        <w:jc w:val="center"/>
        <w:rPr>
          <w:sz w:val="10"/>
          <w:szCs w:val="10"/>
          <w:lang w:val="uk-UA" w:eastAsia="ru-RU"/>
        </w:rPr>
      </w:pPr>
      <w:bookmarkStart w:id="0" w:name="n196"/>
      <w:bookmarkEnd w:id="0"/>
    </w:p>
    <w:tbl>
      <w:tblPr>
        <w:tblStyle w:val="a5"/>
        <w:tblW w:w="10349" w:type="dxa"/>
        <w:tblInd w:w="-318" w:type="dxa"/>
        <w:tblLook w:val="04A0" w:firstRow="1" w:lastRow="0" w:firstColumn="1" w:lastColumn="0" w:noHBand="0" w:noVBand="1"/>
      </w:tblPr>
      <w:tblGrid>
        <w:gridCol w:w="710"/>
        <w:gridCol w:w="2835"/>
        <w:gridCol w:w="6804"/>
      </w:tblGrid>
      <w:tr w:rsidR="00A2304A" w:rsidRPr="00EE63DA" w14:paraId="1F6096D0" w14:textId="77777777" w:rsidTr="000B7EB5">
        <w:tc>
          <w:tcPr>
            <w:tcW w:w="10349" w:type="dxa"/>
            <w:gridSpan w:val="3"/>
          </w:tcPr>
          <w:p w14:paraId="656F0491" w14:textId="77777777" w:rsidR="008D65F2" w:rsidRPr="00EE63DA" w:rsidRDefault="008D65F2" w:rsidP="00FD33EF">
            <w:pPr>
              <w:jc w:val="center"/>
              <w:rPr>
                <w:b/>
                <w:lang w:val="uk-UA" w:eastAsia="ru-RU"/>
              </w:rPr>
            </w:pPr>
          </w:p>
          <w:p w14:paraId="6F0F27D5" w14:textId="77777777" w:rsidR="00A2304A" w:rsidRPr="00EE63DA" w:rsidRDefault="00A2304A" w:rsidP="00FD33EF">
            <w:pPr>
              <w:jc w:val="center"/>
              <w:rPr>
                <w:b/>
                <w:lang w:val="uk-UA" w:eastAsia="ru-RU"/>
              </w:rPr>
            </w:pPr>
            <w:r w:rsidRPr="00EE63DA">
              <w:rPr>
                <w:b/>
                <w:lang w:val="uk-UA" w:eastAsia="ru-RU"/>
              </w:rPr>
              <w:t>Загальні умови</w:t>
            </w:r>
          </w:p>
          <w:p w14:paraId="33780B91" w14:textId="77777777" w:rsidR="008D65F2" w:rsidRPr="00EE63DA" w:rsidRDefault="008D65F2" w:rsidP="00FD33EF">
            <w:pPr>
              <w:jc w:val="center"/>
              <w:rPr>
                <w:b/>
                <w:lang w:val="uk-UA"/>
              </w:rPr>
            </w:pPr>
          </w:p>
        </w:tc>
      </w:tr>
      <w:tr w:rsidR="005E7321" w:rsidRPr="00B35447" w14:paraId="2346E163" w14:textId="77777777" w:rsidTr="000B7EB5">
        <w:tc>
          <w:tcPr>
            <w:tcW w:w="3545" w:type="dxa"/>
            <w:gridSpan w:val="2"/>
          </w:tcPr>
          <w:p w14:paraId="57867AEF" w14:textId="77777777" w:rsidR="005E7321" w:rsidRPr="00EE63DA" w:rsidRDefault="005E7321" w:rsidP="005E7321">
            <w:pPr>
              <w:rPr>
                <w:lang w:val="uk-UA"/>
              </w:rPr>
            </w:pPr>
            <w:r w:rsidRPr="00EE63DA">
              <w:rPr>
                <w:lang w:val="uk-UA" w:eastAsia="ru-RU"/>
              </w:rPr>
              <w:t>Посадові обов’язки</w:t>
            </w:r>
          </w:p>
        </w:tc>
        <w:tc>
          <w:tcPr>
            <w:tcW w:w="6804" w:type="dxa"/>
          </w:tcPr>
          <w:p w14:paraId="0A5BBB48" w14:textId="77777777" w:rsidR="00054ECE" w:rsidRDefault="00054ECE" w:rsidP="00604627">
            <w:pPr>
              <w:pStyle w:val="a8"/>
              <w:spacing w:before="0" w:beforeAutospacing="0" w:after="0" w:afterAutospacing="0"/>
              <w:jc w:val="both"/>
              <w:rPr>
                <w:lang w:eastAsia="ru-RU"/>
              </w:rPr>
            </w:pPr>
            <w:r>
              <w:rPr>
                <w:lang w:eastAsia="ru-RU"/>
              </w:rPr>
              <w:t>Із застосуванням програми ЄІСУБ (Єдина інформаційна система управління бюджетом) проведення:</w:t>
            </w:r>
          </w:p>
          <w:p w14:paraId="7C2C77F1" w14:textId="77777777" w:rsidR="00054ECE" w:rsidRDefault="00054ECE" w:rsidP="00604627">
            <w:pPr>
              <w:pStyle w:val="a8"/>
              <w:spacing w:before="0" w:beforeAutospacing="0" w:after="0" w:afterAutospacing="0"/>
              <w:jc w:val="both"/>
              <w:rPr>
                <w:lang w:eastAsia="ru-RU"/>
              </w:rPr>
            </w:pPr>
            <w:r>
              <w:rPr>
                <w:lang w:eastAsia="ru-RU"/>
              </w:rPr>
              <w:t>- розробки кошторисів доходів та видатків, планів асигнувань бюджетних коштів та розрахунків до них по затвердженим бюджетним програмам управління;</w:t>
            </w:r>
          </w:p>
          <w:p w14:paraId="510260FF" w14:textId="77777777" w:rsidR="00054ECE" w:rsidRDefault="00054ECE" w:rsidP="00604627">
            <w:pPr>
              <w:pStyle w:val="a8"/>
              <w:spacing w:before="0" w:beforeAutospacing="0" w:after="0" w:afterAutospacing="0"/>
              <w:jc w:val="both"/>
              <w:rPr>
                <w:lang w:eastAsia="ru-RU"/>
              </w:rPr>
            </w:pPr>
            <w:r>
              <w:rPr>
                <w:lang w:eastAsia="ru-RU"/>
              </w:rPr>
              <w:t>- складання зведених кошторисів доходів та видатків, планів асигнувань бюджетних коштів та розрахунків до них по установам та організаціям, які підпорядковані управлінню;</w:t>
            </w:r>
          </w:p>
          <w:p w14:paraId="634FE7A2" w14:textId="77777777" w:rsidR="00054ECE" w:rsidRDefault="00054ECE" w:rsidP="00604627">
            <w:pPr>
              <w:pStyle w:val="a8"/>
              <w:spacing w:before="0" w:beforeAutospacing="0" w:after="0" w:afterAutospacing="0"/>
              <w:jc w:val="both"/>
              <w:rPr>
                <w:lang w:eastAsia="ru-RU"/>
              </w:rPr>
            </w:pPr>
            <w:r>
              <w:rPr>
                <w:lang w:eastAsia="ru-RU"/>
              </w:rPr>
              <w:t>- здійснення своєчасного та вірного внесення змін до кошторисів та планів асигнувань бюджетних коштів управління та підпорядкованих йому установ та організацій.</w:t>
            </w:r>
          </w:p>
          <w:p w14:paraId="0B761942" w14:textId="77777777" w:rsidR="00054ECE" w:rsidRDefault="00054ECE" w:rsidP="00604627">
            <w:pPr>
              <w:pStyle w:val="a8"/>
              <w:spacing w:before="0" w:beforeAutospacing="0" w:after="0" w:afterAutospacing="0"/>
              <w:jc w:val="both"/>
              <w:rPr>
                <w:lang w:eastAsia="ru-RU"/>
              </w:rPr>
            </w:pPr>
            <w:r>
              <w:rPr>
                <w:lang w:eastAsia="ru-RU"/>
              </w:rPr>
              <w:t>Розробка штатного розпису та тарифікаційного списку згідно із затвердженою структурою управління, схемами посадових окладів, фондом заробітної плати і чинними нормативами, внесення змін до них, формування структури заробітної плати із застосуванням програми ЄІСУБ (Єдина інформаційна система управління бюджетом).</w:t>
            </w:r>
          </w:p>
          <w:p w14:paraId="4CB39F90" w14:textId="0F89D21E" w:rsidR="00054ECE" w:rsidRDefault="00054ECE" w:rsidP="00604627">
            <w:pPr>
              <w:pStyle w:val="a8"/>
              <w:spacing w:before="0" w:beforeAutospacing="0" w:after="0" w:afterAutospacing="0"/>
              <w:jc w:val="both"/>
              <w:rPr>
                <w:lang w:eastAsia="ru-RU"/>
              </w:rPr>
            </w:pPr>
            <w:r>
              <w:rPr>
                <w:lang w:eastAsia="ru-RU"/>
              </w:rPr>
              <w:t>-</w:t>
            </w:r>
            <w:r>
              <w:rPr>
                <w:lang w:eastAsia="ru-RU"/>
              </w:rPr>
              <w:tab/>
              <w:t xml:space="preserve">Підготовка та складання в </w:t>
            </w:r>
            <w:r w:rsidR="00604627">
              <w:rPr>
                <w:lang w:eastAsia="ru-RU"/>
              </w:rPr>
              <w:t>установленому</w:t>
            </w:r>
            <w:r>
              <w:rPr>
                <w:lang w:eastAsia="ru-RU"/>
              </w:rPr>
              <w:t xml:space="preserve"> порядку бюджетних запитів за програмами місцевого бюджету відповідно до проєкту бюджету управління та по установам і організаціям, які підпорядковані управлінню, із застосуванням програми ЄІСУБ (Єдина інформаційна система управління бюджетом) та з використанням програмно-цільового методу.</w:t>
            </w:r>
          </w:p>
          <w:p w14:paraId="21FD460F" w14:textId="77777777" w:rsidR="00054ECE" w:rsidRDefault="00054ECE" w:rsidP="00604627">
            <w:pPr>
              <w:pStyle w:val="a8"/>
              <w:spacing w:before="0" w:beforeAutospacing="0" w:after="0" w:afterAutospacing="0"/>
              <w:jc w:val="both"/>
              <w:rPr>
                <w:lang w:eastAsia="ru-RU"/>
              </w:rPr>
            </w:pPr>
            <w:r>
              <w:rPr>
                <w:lang w:eastAsia="ru-RU"/>
              </w:rPr>
              <w:t>-</w:t>
            </w:r>
            <w:r>
              <w:rPr>
                <w:lang w:eastAsia="ru-RU"/>
              </w:rPr>
              <w:tab/>
              <w:t>Здійснення аналізу та узагальнення матеріалів, наданих структурними відділами управління щодо формування проєкту бюджету на наступний рік.</w:t>
            </w:r>
          </w:p>
          <w:p w14:paraId="0C7572C3" w14:textId="77777777" w:rsidR="00054ECE" w:rsidRDefault="00054ECE" w:rsidP="00604627">
            <w:pPr>
              <w:pStyle w:val="a8"/>
              <w:spacing w:before="0" w:beforeAutospacing="0" w:after="0" w:afterAutospacing="0"/>
              <w:jc w:val="both"/>
              <w:rPr>
                <w:lang w:eastAsia="ru-RU"/>
              </w:rPr>
            </w:pPr>
            <w:r>
              <w:rPr>
                <w:lang w:eastAsia="ru-RU"/>
              </w:rPr>
              <w:t>-</w:t>
            </w:r>
            <w:r>
              <w:rPr>
                <w:lang w:eastAsia="ru-RU"/>
              </w:rPr>
              <w:tab/>
              <w:t xml:space="preserve">Складання розрахунків потреби в розрізі видів видатків до проєкту бюджету управління за бюджетними програмами на наступний рік. </w:t>
            </w:r>
          </w:p>
          <w:p w14:paraId="10C056FE" w14:textId="77777777" w:rsidR="00054ECE" w:rsidRDefault="00054ECE" w:rsidP="00604627">
            <w:pPr>
              <w:pStyle w:val="a8"/>
              <w:spacing w:before="0" w:beforeAutospacing="0" w:after="0" w:afterAutospacing="0"/>
              <w:jc w:val="both"/>
              <w:rPr>
                <w:lang w:eastAsia="ru-RU"/>
              </w:rPr>
            </w:pPr>
            <w:r>
              <w:rPr>
                <w:lang w:eastAsia="ru-RU"/>
              </w:rPr>
              <w:t>Забезпечення вірного та своєчасного заповнення паспортів бюджетних програм, уточнених паспортів та звітів про їх виконання, проведення оцінювання результативності та ефективності виконання бюджетних програм із застосуванням програми ЄІСУБ (Єдина інформаційна система управління бюджетом).</w:t>
            </w:r>
          </w:p>
          <w:p w14:paraId="3DD611EF" w14:textId="77777777" w:rsidR="00054ECE" w:rsidRDefault="00054ECE" w:rsidP="00604627">
            <w:pPr>
              <w:pStyle w:val="a8"/>
              <w:spacing w:before="0" w:beforeAutospacing="0" w:after="0" w:afterAutospacing="0"/>
              <w:jc w:val="both"/>
              <w:rPr>
                <w:lang w:eastAsia="ru-RU"/>
              </w:rPr>
            </w:pPr>
            <w:r>
              <w:rPr>
                <w:lang w:eastAsia="ru-RU"/>
              </w:rPr>
              <w:t xml:space="preserve">Виконання роботи щодо зведення паспортів бюджетних програм, уточнених паспортів та звітів про їх виконання установ та організацій, підпорядкованих управлінню. </w:t>
            </w:r>
          </w:p>
          <w:p w14:paraId="587AD87C" w14:textId="77777777" w:rsidR="00054ECE" w:rsidRDefault="00054ECE" w:rsidP="00604627">
            <w:pPr>
              <w:pStyle w:val="a8"/>
              <w:spacing w:before="0" w:beforeAutospacing="0" w:after="0" w:afterAutospacing="0"/>
              <w:jc w:val="both"/>
              <w:rPr>
                <w:lang w:eastAsia="ru-RU"/>
              </w:rPr>
            </w:pPr>
            <w:r>
              <w:rPr>
                <w:lang w:eastAsia="ru-RU"/>
              </w:rPr>
              <w:t xml:space="preserve">Ведення вірного та своєчасного обліку показників з праці і заробітної плати, здійснення їх аналізу. </w:t>
            </w:r>
          </w:p>
          <w:p w14:paraId="7BD00501" w14:textId="77777777" w:rsidR="00054ECE" w:rsidRDefault="00054ECE" w:rsidP="00604627">
            <w:pPr>
              <w:pStyle w:val="a8"/>
              <w:spacing w:before="0" w:beforeAutospacing="0" w:after="0" w:afterAutospacing="0"/>
              <w:jc w:val="both"/>
              <w:rPr>
                <w:lang w:eastAsia="ru-RU"/>
              </w:rPr>
            </w:pPr>
            <w:r>
              <w:rPr>
                <w:lang w:eastAsia="ru-RU"/>
              </w:rPr>
              <w:t>Забезпечення певного та своєчасного аналізу виконання кошторису витрат управління та планів асигнувань за бюджетними програмами в процесі виконання бюджету.</w:t>
            </w:r>
          </w:p>
          <w:p w14:paraId="765CF025" w14:textId="77777777" w:rsidR="00054ECE" w:rsidRDefault="00054ECE" w:rsidP="00604627">
            <w:pPr>
              <w:pStyle w:val="a8"/>
              <w:spacing w:before="0" w:beforeAutospacing="0" w:after="0" w:afterAutospacing="0"/>
              <w:jc w:val="both"/>
              <w:rPr>
                <w:lang w:eastAsia="ru-RU"/>
              </w:rPr>
            </w:pPr>
            <w:r>
              <w:rPr>
                <w:lang w:eastAsia="ru-RU"/>
              </w:rPr>
              <w:t>Здійснення вірного та своєчасного обліку змін кошторисів доходів та видатків та помісячних планів асигнувань за бюджетними програмами управління.</w:t>
            </w:r>
          </w:p>
          <w:p w14:paraId="6675B426" w14:textId="77777777" w:rsidR="00054ECE" w:rsidRDefault="00054ECE" w:rsidP="00604627">
            <w:pPr>
              <w:pStyle w:val="a8"/>
              <w:spacing w:before="0" w:beforeAutospacing="0" w:after="0" w:afterAutospacing="0"/>
              <w:jc w:val="both"/>
              <w:rPr>
                <w:lang w:eastAsia="ru-RU"/>
              </w:rPr>
            </w:pPr>
            <w:r>
              <w:rPr>
                <w:lang w:eastAsia="ru-RU"/>
              </w:rPr>
              <w:lastRenderedPageBreak/>
              <w:t xml:space="preserve">Здійснення певного аналізу та надання начальнику відділу пропозицій щодо  внесення змін до помісячних планів асигнувань з обґрунтованими розрахунками. </w:t>
            </w:r>
          </w:p>
          <w:p w14:paraId="4C8D079F" w14:textId="77777777" w:rsidR="00054ECE" w:rsidRDefault="00054ECE" w:rsidP="00604627">
            <w:pPr>
              <w:pStyle w:val="a8"/>
              <w:spacing w:before="0" w:beforeAutospacing="0" w:after="0" w:afterAutospacing="0"/>
              <w:jc w:val="both"/>
              <w:rPr>
                <w:lang w:eastAsia="ru-RU"/>
              </w:rPr>
            </w:pPr>
            <w:r>
              <w:rPr>
                <w:lang w:eastAsia="ru-RU"/>
              </w:rPr>
              <w:t>Забезпечення складання та подання в установленому порядку місячної, квартальної, річної фінансової, державної статистичної та іншої звітності у встановлені терміни до:</w:t>
            </w:r>
          </w:p>
          <w:p w14:paraId="596A353A" w14:textId="77777777" w:rsidR="00054ECE" w:rsidRDefault="00054ECE" w:rsidP="00604627">
            <w:pPr>
              <w:pStyle w:val="a8"/>
              <w:spacing w:before="0" w:beforeAutospacing="0" w:after="0" w:afterAutospacing="0"/>
              <w:jc w:val="both"/>
              <w:rPr>
                <w:lang w:eastAsia="ru-RU"/>
              </w:rPr>
            </w:pPr>
            <w:r>
              <w:rPr>
                <w:lang w:eastAsia="ru-RU"/>
              </w:rPr>
              <w:t>- Фінансового управління Святошинської районної в місті Києві державної адміністрації;</w:t>
            </w:r>
          </w:p>
          <w:p w14:paraId="5A88E36F" w14:textId="77777777" w:rsidR="00054ECE" w:rsidRDefault="00054ECE" w:rsidP="00604627">
            <w:pPr>
              <w:pStyle w:val="a8"/>
              <w:spacing w:before="0" w:beforeAutospacing="0" w:after="0" w:afterAutospacing="0"/>
              <w:jc w:val="both"/>
              <w:rPr>
                <w:lang w:eastAsia="ru-RU"/>
              </w:rPr>
            </w:pPr>
            <w:r>
              <w:rPr>
                <w:lang w:eastAsia="ru-RU"/>
              </w:rPr>
              <w:t>- Святошинської районної в місті Києві державної адміністрації та її структурних підрозділів;</w:t>
            </w:r>
          </w:p>
          <w:p w14:paraId="508A12B5" w14:textId="77777777" w:rsidR="00054ECE" w:rsidRDefault="00054ECE" w:rsidP="00604627">
            <w:pPr>
              <w:pStyle w:val="a8"/>
              <w:spacing w:before="0" w:beforeAutospacing="0" w:after="0" w:afterAutospacing="0"/>
              <w:jc w:val="both"/>
              <w:rPr>
                <w:lang w:eastAsia="ru-RU"/>
              </w:rPr>
            </w:pPr>
            <w:r>
              <w:rPr>
                <w:lang w:eastAsia="ru-RU"/>
              </w:rPr>
              <w:t>- Головного управління статистики у м. Києві;</w:t>
            </w:r>
          </w:p>
          <w:p w14:paraId="5BFC8D7B" w14:textId="77777777" w:rsidR="00054ECE" w:rsidRDefault="00054ECE" w:rsidP="00604627">
            <w:pPr>
              <w:pStyle w:val="a8"/>
              <w:spacing w:before="0" w:beforeAutospacing="0" w:after="0" w:afterAutospacing="0"/>
              <w:jc w:val="both"/>
              <w:rPr>
                <w:lang w:eastAsia="ru-RU"/>
              </w:rPr>
            </w:pPr>
            <w:r>
              <w:rPr>
                <w:lang w:eastAsia="ru-RU"/>
              </w:rPr>
              <w:t>- інших контролюючих органів.</w:t>
            </w:r>
          </w:p>
          <w:p w14:paraId="02CC9ED3" w14:textId="77777777" w:rsidR="00054ECE" w:rsidRDefault="00054ECE" w:rsidP="00604627">
            <w:pPr>
              <w:pStyle w:val="a8"/>
              <w:spacing w:before="0" w:beforeAutospacing="0" w:after="0" w:afterAutospacing="0"/>
              <w:jc w:val="both"/>
              <w:rPr>
                <w:lang w:eastAsia="ru-RU"/>
              </w:rPr>
            </w:pPr>
            <w:r>
              <w:rPr>
                <w:lang w:eastAsia="ru-RU"/>
              </w:rPr>
              <w:t xml:space="preserve">Виконання роботи з формування, ведення та зберігання бази даних фінансової (економічної) інформації, внесення зміни до довідкової та нормативної інформації, яка використовується при обробці даних. </w:t>
            </w:r>
          </w:p>
          <w:p w14:paraId="7EF5B0C8" w14:textId="77777777" w:rsidR="00054ECE" w:rsidRDefault="00054ECE" w:rsidP="00604627">
            <w:pPr>
              <w:pStyle w:val="a8"/>
              <w:spacing w:before="0" w:beforeAutospacing="0" w:after="0" w:afterAutospacing="0"/>
              <w:jc w:val="both"/>
              <w:rPr>
                <w:lang w:eastAsia="ru-RU"/>
              </w:rPr>
            </w:pPr>
            <w:r>
              <w:rPr>
                <w:lang w:eastAsia="ru-RU"/>
              </w:rPr>
              <w:t>Забезпечення контролю за правильним обліком та зберіганням бухгалтерських документів, оформленням і здачею їх у встановленому порядку в архів.</w:t>
            </w:r>
          </w:p>
          <w:p w14:paraId="328BE856" w14:textId="77777777" w:rsidR="00054ECE" w:rsidRDefault="00054ECE" w:rsidP="00604627">
            <w:pPr>
              <w:pStyle w:val="a8"/>
              <w:spacing w:before="0" w:beforeAutospacing="0" w:after="0" w:afterAutospacing="0"/>
              <w:jc w:val="both"/>
              <w:rPr>
                <w:lang w:eastAsia="ru-RU"/>
              </w:rPr>
            </w:pPr>
            <w:r>
              <w:rPr>
                <w:lang w:eastAsia="ru-RU"/>
              </w:rPr>
              <w:t>Забезпечення своєчасного виконання наказів, розпоряджень та контрольних листів організацій вищого рівня з фінансово-економічних питань, які входять до компетенції відділу.</w:t>
            </w:r>
          </w:p>
          <w:p w14:paraId="3C5D0994" w14:textId="77777777" w:rsidR="00054ECE" w:rsidRDefault="00054ECE" w:rsidP="00604627">
            <w:pPr>
              <w:pStyle w:val="a8"/>
              <w:spacing w:before="0" w:beforeAutospacing="0" w:after="0" w:afterAutospacing="0"/>
              <w:jc w:val="both"/>
              <w:rPr>
                <w:lang w:eastAsia="ru-RU"/>
              </w:rPr>
            </w:pPr>
            <w:r>
              <w:rPr>
                <w:lang w:eastAsia="ru-RU"/>
              </w:rPr>
              <w:t>Опрацювання вхідних документів в інформаційно-телекомунікаційній системі «Єдиний інформаційний простір територіальної громади міста Києва» (Система електронного документообігу «АСКОД»).</w:t>
            </w:r>
          </w:p>
          <w:p w14:paraId="73C9DCCD" w14:textId="77777777" w:rsidR="00054ECE" w:rsidRDefault="00054ECE" w:rsidP="00604627">
            <w:pPr>
              <w:pStyle w:val="a8"/>
              <w:spacing w:before="0" w:beforeAutospacing="0" w:after="0" w:afterAutospacing="0"/>
              <w:jc w:val="both"/>
              <w:rPr>
                <w:lang w:eastAsia="ru-RU"/>
              </w:rPr>
            </w:pPr>
            <w:r>
              <w:rPr>
                <w:lang w:eastAsia="ru-RU"/>
              </w:rPr>
              <w:t>Прийняття участі у розробці окремих аналітичних матеріалів, комплексних заходів, пропозицій, проєктів нормативно-правових актів з питань, що належать до компетенції відділу.</w:t>
            </w:r>
          </w:p>
          <w:p w14:paraId="2228892E" w14:textId="77777777" w:rsidR="00054ECE" w:rsidRDefault="00054ECE" w:rsidP="00604627">
            <w:pPr>
              <w:pStyle w:val="a8"/>
              <w:spacing w:before="0" w:beforeAutospacing="0" w:after="0" w:afterAutospacing="0"/>
              <w:jc w:val="both"/>
              <w:rPr>
                <w:lang w:eastAsia="ru-RU"/>
              </w:rPr>
            </w:pPr>
            <w:r>
              <w:rPr>
                <w:lang w:eastAsia="ru-RU"/>
              </w:rPr>
              <w:t xml:space="preserve">Взяття участі у формуванні економічного поставлення задач </w:t>
            </w:r>
            <w:proofErr w:type="spellStart"/>
            <w:r>
              <w:rPr>
                <w:lang w:eastAsia="ru-RU"/>
              </w:rPr>
              <w:t>обо</w:t>
            </w:r>
            <w:proofErr w:type="spellEnd"/>
            <w:r>
              <w:rPr>
                <w:lang w:eastAsia="ru-RU"/>
              </w:rPr>
              <w:t xml:space="preserve"> окремих їх етапів, які вирішуються за допомогою обчислювальної техніки, визначення можливостей використання готових проєктів, алгоритмів пакетів прикладних програм, що дають можливість створювати економічно обґрунтовані системи оброблення економічної інформації.</w:t>
            </w:r>
          </w:p>
          <w:p w14:paraId="4A07AB63" w14:textId="082361FC" w:rsidR="005E7321" w:rsidRPr="00C51C9F" w:rsidRDefault="00054ECE" w:rsidP="00604627">
            <w:pPr>
              <w:pStyle w:val="a8"/>
              <w:spacing w:before="0" w:beforeAutospacing="0" w:after="0" w:afterAutospacing="0"/>
              <w:jc w:val="both"/>
              <w:rPr>
                <w:lang w:eastAsia="ru-RU"/>
              </w:rPr>
            </w:pPr>
            <w:r>
              <w:rPr>
                <w:lang w:eastAsia="ru-RU"/>
              </w:rPr>
              <w:t>Участь у визначенні змісту основних прийомів і методів ведення обліку і технології обробки фінансової і статистичної інформації. Здійснення розробки форм документів для внутрішнього фінансового та аналітичного обліку і звітності, по яким не передбачені типові форми.</w:t>
            </w:r>
          </w:p>
        </w:tc>
      </w:tr>
      <w:tr w:rsidR="005E7321" w:rsidRPr="00B35447" w14:paraId="3EAD62E2" w14:textId="77777777" w:rsidTr="000B7EB5">
        <w:tc>
          <w:tcPr>
            <w:tcW w:w="3545" w:type="dxa"/>
            <w:gridSpan w:val="2"/>
          </w:tcPr>
          <w:p w14:paraId="7141666F" w14:textId="77777777" w:rsidR="005E7321" w:rsidRPr="00EE63DA" w:rsidRDefault="005E7321" w:rsidP="005E7321">
            <w:pPr>
              <w:rPr>
                <w:lang w:val="uk-UA" w:eastAsia="ru-RU"/>
              </w:rPr>
            </w:pPr>
            <w:r w:rsidRPr="00EE63DA">
              <w:rPr>
                <w:lang w:val="uk-UA" w:eastAsia="ru-RU"/>
              </w:rPr>
              <w:lastRenderedPageBreak/>
              <w:t>Умови оплати праці</w:t>
            </w:r>
          </w:p>
        </w:tc>
        <w:tc>
          <w:tcPr>
            <w:tcW w:w="6804" w:type="dxa"/>
          </w:tcPr>
          <w:p w14:paraId="7503977F" w14:textId="15390413" w:rsidR="005E7321" w:rsidRDefault="005E7321" w:rsidP="005E7321">
            <w:pPr>
              <w:rPr>
                <w:lang w:val="uk-UA" w:eastAsia="ru-RU"/>
              </w:rPr>
            </w:pPr>
            <w:r w:rsidRPr="008A131C">
              <w:rPr>
                <w:lang w:val="uk-UA" w:eastAsia="ru-RU"/>
              </w:rPr>
              <w:t xml:space="preserve">Посадовий оклад – </w:t>
            </w:r>
            <w:r w:rsidR="008A131C" w:rsidRPr="008A131C">
              <w:rPr>
                <w:lang w:val="uk-UA" w:eastAsia="ru-RU"/>
              </w:rPr>
              <w:t>14820</w:t>
            </w:r>
            <w:r w:rsidRPr="008A131C">
              <w:rPr>
                <w:lang w:val="uk-UA" w:eastAsia="ru-RU"/>
              </w:rPr>
              <w:t xml:space="preserve"> ,00 грн.</w:t>
            </w:r>
            <w:r w:rsidRPr="00EE63DA">
              <w:rPr>
                <w:lang w:val="uk-UA" w:eastAsia="ru-RU"/>
              </w:rPr>
              <w:t xml:space="preserve"> </w:t>
            </w:r>
          </w:p>
          <w:p w14:paraId="25D7E7FD" w14:textId="77777777" w:rsidR="005E7321" w:rsidRPr="00165BAD" w:rsidRDefault="005E7321" w:rsidP="005E7321">
            <w:pPr>
              <w:rPr>
                <w:lang w:val="uk-UA" w:eastAsia="ru-RU"/>
              </w:rPr>
            </w:pPr>
            <w:r w:rsidRPr="00165BAD">
              <w:rPr>
                <w:lang w:val="uk-UA" w:eastAsia="ru-RU"/>
              </w:rPr>
              <w:t>премія – до 30 % посадового окладу,</w:t>
            </w:r>
          </w:p>
          <w:p w14:paraId="66EB8A55" w14:textId="77777777" w:rsidR="005E7321" w:rsidRPr="00165BAD" w:rsidRDefault="005E7321" w:rsidP="005E7321">
            <w:pPr>
              <w:rPr>
                <w:lang w:val="uk-UA" w:eastAsia="ru-RU"/>
              </w:rPr>
            </w:pPr>
            <w:r w:rsidRPr="00165BAD">
              <w:rPr>
                <w:lang w:val="uk-UA" w:eastAsia="ru-RU"/>
              </w:rPr>
              <w:t>надбавка за ранг державного службовця,</w:t>
            </w:r>
          </w:p>
          <w:p w14:paraId="6C777AC2" w14:textId="7421F1F0" w:rsidR="005E7321" w:rsidRPr="00EE63DA" w:rsidRDefault="005E7321" w:rsidP="005E7321">
            <w:pPr>
              <w:rPr>
                <w:lang w:val="uk-UA" w:eastAsia="ru-RU"/>
              </w:rPr>
            </w:pPr>
            <w:r w:rsidRPr="00165BAD">
              <w:rPr>
                <w:lang w:val="uk-UA" w:eastAsia="ru-RU"/>
              </w:rPr>
              <w:t xml:space="preserve">надбавки, доплати, та компенсації відповідно до статті 52 Закону </w:t>
            </w:r>
            <w:r>
              <w:rPr>
                <w:lang w:val="uk-UA" w:eastAsia="ru-RU"/>
              </w:rPr>
              <w:t>України «Про державну службу</w:t>
            </w:r>
            <w:r w:rsidR="00B35447">
              <w:rPr>
                <w:lang w:val="uk-UA" w:eastAsia="ru-RU"/>
              </w:rPr>
              <w:t>»</w:t>
            </w:r>
          </w:p>
        </w:tc>
      </w:tr>
      <w:tr w:rsidR="005E7321" w:rsidRPr="00B35447" w14:paraId="48C10806" w14:textId="77777777" w:rsidTr="000B7EB5">
        <w:tc>
          <w:tcPr>
            <w:tcW w:w="3545" w:type="dxa"/>
            <w:gridSpan w:val="2"/>
          </w:tcPr>
          <w:p w14:paraId="1CB73C10" w14:textId="77777777" w:rsidR="005E7321" w:rsidRPr="00EE63DA" w:rsidRDefault="005E7321" w:rsidP="005E7321">
            <w:pPr>
              <w:rPr>
                <w:lang w:val="uk-UA" w:eastAsia="ru-RU"/>
              </w:rPr>
            </w:pPr>
            <w:r w:rsidRPr="00EE63DA">
              <w:rPr>
                <w:lang w:val="uk-UA" w:eastAsia="ru-RU"/>
              </w:rPr>
              <w:t>Інформація про строковість чи безстроковість призначення на посаду</w:t>
            </w:r>
          </w:p>
        </w:tc>
        <w:tc>
          <w:tcPr>
            <w:tcW w:w="6804" w:type="dxa"/>
          </w:tcPr>
          <w:p w14:paraId="3C8801FC" w14:textId="77777777" w:rsidR="005E7321" w:rsidRPr="00893301" w:rsidRDefault="005E7321" w:rsidP="005E7321">
            <w:pPr>
              <w:jc w:val="both"/>
              <w:rPr>
                <w:lang w:val="uk-UA"/>
              </w:rPr>
            </w:pPr>
            <w:r w:rsidRPr="00893301">
              <w:rPr>
                <w:color w:val="000000"/>
                <w:lang w:val="uk-UA"/>
              </w:rPr>
              <w:t xml:space="preserve">Особа призначається на посаду державної служби </w:t>
            </w:r>
            <w:r w:rsidRPr="00C705A9">
              <w:rPr>
                <w:color w:val="000000"/>
                <w:lang w:val="uk-UA"/>
              </w:rPr>
              <w:t>на період дії воєнного стану, до призначення особи за результатами конкурсу на цю посаду, але не більше 12 місяців з дня припинення чи скасування воєнного стану</w:t>
            </w:r>
            <w:r>
              <w:rPr>
                <w:color w:val="000000"/>
                <w:lang w:val="uk-UA"/>
              </w:rPr>
              <w:t>.</w:t>
            </w:r>
          </w:p>
        </w:tc>
      </w:tr>
      <w:tr w:rsidR="005E7321" w:rsidRPr="00606D0E" w14:paraId="0C4B8807" w14:textId="77777777" w:rsidTr="000B7EB5">
        <w:tc>
          <w:tcPr>
            <w:tcW w:w="3545" w:type="dxa"/>
            <w:gridSpan w:val="2"/>
          </w:tcPr>
          <w:p w14:paraId="305DA21A" w14:textId="77777777" w:rsidR="005E7321" w:rsidRPr="00EE63DA" w:rsidRDefault="005E7321" w:rsidP="005E7321">
            <w:pPr>
              <w:rPr>
                <w:lang w:val="uk-UA" w:eastAsia="ru-RU"/>
              </w:rPr>
            </w:pPr>
            <w:r w:rsidRPr="00EE63DA">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804" w:type="dxa"/>
          </w:tcPr>
          <w:p w14:paraId="132083B5" w14:textId="1EE5AE4B" w:rsidR="005E7321" w:rsidRPr="00893301" w:rsidRDefault="005E7321" w:rsidP="005E7321">
            <w:pPr>
              <w:rPr>
                <w:lang w:val="uk-UA" w:eastAsia="ru-RU"/>
              </w:rPr>
            </w:pPr>
            <w:r>
              <w:rPr>
                <w:lang w:val="uk-UA" w:eastAsia="ru-RU"/>
              </w:rPr>
              <w:t>Хорєва Алла Олександрівна</w:t>
            </w:r>
          </w:p>
          <w:p w14:paraId="61697C6F" w14:textId="0DAB2BC3" w:rsidR="005E7321" w:rsidRDefault="005E7321" w:rsidP="005E7321">
            <w:pPr>
              <w:rPr>
                <w:lang w:val="uk-UA" w:eastAsia="ru-RU"/>
              </w:rPr>
            </w:pPr>
            <w:r w:rsidRPr="00893301">
              <w:rPr>
                <w:lang w:val="uk-UA" w:eastAsia="ru-RU"/>
              </w:rPr>
              <w:t>т. (044)</w:t>
            </w:r>
            <w:r>
              <w:rPr>
                <w:lang w:val="uk-UA" w:eastAsia="ru-RU"/>
              </w:rPr>
              <w:t xml:space="preserve"> 405 92 68</w:t>
            </w:r>
          </w:p>
          <w:p w14:paraId="26D7ABAE" w14:textId="7F0746F8" w:rsidR="005E7321" w:rsidRPr="00893301" w:rsidRDefault="005E7321" w:rsidP="005E7321">
            <w:pPr>
              <w:rPr>
                <w:lang w:val="uk-UA" w:eastAsia="ru-RU"/>
              </w:rPr>
            </w:pPr>
            <w:r>
              <w:rPr>
                <w:lang w:val="uk-UA" w:eastAsia="ru-RU"/>
              </w:rPr>
              <w:t>вул. Гната Юри  14-Б, м. Київ</w:t>
            </w:r>
          </w:p>
          <w:p w14:paraId="3AE207A1" w14:textId="0D86EC1A" w:rsidR="005E7321" w:rsidRPr="00325515" w:rsidRDefault="005E7321" w:rsidP="005E7321">
            <w:pPr>
              <w:spacing w:after="200" w:line="276" w:lineRule="auto"/>
              <w:rPr>
                <w:rFonts w:eastAsia="Calibri"/>
                <w:lang w:val="uk-UA"/>
              </w:rPr>
            </w:pPr>
            <w:r>
              <w:rPr>
                <w:rFonts w:eastAsia="Calibri"/>
              </w:rPr>
              <w:t>e</w:t>
            </w:r>
            <w:r w:rsidRPr="00606D0E">
              <w:rPr>
                <w:rFonts w:eastAsia="Calibri"/>
              </w:rPr>
              <w:t>-</w:t>
            </w:r>
            <w:r>
              <w:rPr>
                <w:rFonts w:eastAsia="Calibri"/>
              </w:rPr>
              <w:t>mail</w:t>
            </w:r>
            <w:r>
              <w:rPr>
                <w:rFonts w:eastAsia="Calibri"/>
                <w:lang w:val="uk-UA"/>
              </w:rPr>
              <w:t>:</w:t>
            </w:r>
            <w:r>
              <w:t xml:space="preserve"> </w:t>
            </w:r>
            <w:r w:rsidRPr="00325515">
              <w:rPr>
                <w:rFonts w:eastAsia="Calibri"/>
                <w:lang w:val="uk-UA"/>
              </w:rPr>
              <w:t>alla.khorieva@kyivcity.gov.ua</w:t>
            </w:r>
          </w:p>
        </w:tc>
      </w:tr>
      <w:tr w:rsidR="005E7321" w:rsidRPr="00EE63DA" w14:paraId="2FBF3D90" w14:textId="77777777" w:rsidTr="000B7EB5">
        <w:tc>
          <w:tcPr>
            <w:tcW w:w="10349" w:type="dxa"/>
            <w:gridSpan w:val="3"/>
          </w:tcPr>
          <w:p w14:paraId="48AE3488" w14:textId="77777777" w:rsidR="005E7321" w:rsidRPr="00EE63DA" w:rsidRDefault="005E7321" w:rsidP="005E7321">
            <w:pPr>
              <w:jc w:val="center"/>
              <w:rPr>
                <w:b/>
                <w:lang w:val="uk-UA" w:eastAsia="ru-RU"/>
              </w:rPr>
            </w:pPr>
          </w:p>
          <w:p w14:paraId="5E2223E4" w14:textId="77777777" w:rsidR="005E7321" w:rsidRPr="00EE63DA" w:rsidRDefault="005E7321" w:rsidP="005E7321">
            <w:pPr>
              <w:jc w:val="center"/>
              <w:rPr>
                <w:b/>
                <w:lang w:val="uk-UA" w:eastAsia="ru-RU"/>
              </w:rPr>
            </w:pPr>
            <w:r w:rsidRPr="00EE63DA">
              <w:rPr>
                <w:b/>
                <w:lang w:val="uk-UA" w:eastAsia="ru-RU"/>
              </w:rPr>
              <w:lastRenderedPageBreak/>
              <w:t>Кваліфікаційні вимоги</w:t>
            </w:r>
          </w:p>
          <w:p w14:paraId="5EC7BD8A" w14:textId="77777777" w:rsidR="005E7321" w:rsidRPr="00EE63DA" w:rsidRDefault="005E7321" w:rsidP="005E7321">
            <w:pPr>
              <w:jc w:val="center"/>
              <w:rPr>
                <w:b/>
                <w:lang w:val="uk-UA"/>
              </w:rPr>
            </w:pPr>
          </w:p>
        </w:tc>
      </w:tr>
      <w:tr w:rsidR="005E7321" w:rsidRPr="00B35447" w14:paraId="554CCEF9" w14:textId="77777777" w:rsidTr="000B7EB5">
        <w:tc>
          <w:tcPr>
            <w:tcW w:w="710" w:type="dxa"/>
          </w:tcPr>
          <w:p w14:paraId="56A97C67" w14:textId="77777777" w:rsidR="005E7321" w:rsidRPr="00EE63DA" w:rsidRDefault="005E7321" w:rsidP="005E7321">
            <w:pPr>
              <w:jc w:val="center"/>
              <w:rPr>
                <w:lang w:val="uk-UA"/>
              </w:rPr>
            </w:pPr>
            <w:r w:rsidRPr="00EE63DA">
              <w:rPr>
                <w:lang w:val="uk-UA"/>
              </w:rPr>
              <w:lastRenderedPageBreak/>
              <w:t>1.</w:t>
            </w:r>
          </w:p>
        </w:tc>
        <w:tc>
          <w:tcPr>
            <w:tcW w:w="2835" w:type="dxa"/>
          </w:tcPr>
          <w:p w14:paraId="3F165302" w14:textId="77777777" w:rsidR="005E7321" w:rsidRPr="00EE63DA" w:rsidRDefault="005E7321" w:rsidP="005E7321">
            <w:pPr>
              <w:spacing w:before="100" w:beforeAutospacing="1" w:after="100" w:afterAutospacing="1"/>
              <w:rPr>
                <w:lang w:val="uk-UA" w:eastAsia="ru-RU"/>
              </w:rPr>
            </w:pPr>
            <w:r w:rsidRPr="00EE63DA">
              <w:rPr>
                <w:lang w:val="uk-UA" w:eastAsia="ru-RU"/>
              </w:rPr>
              <w:t>Освіта</w:t>
            </w:r>
          </w:p>
        </w:tc>
        <w:tc>
          <w:tcPr>
            <w:tcW w:w="6804" w:type="dxa"/>
          </w:tcPr>
          <w:p w14:paraId="567B5A87" w14:textId="09EDC714" w:rsidR="005E7321" w:rsidRPr="00EE63DA" w:rsidRDefault="004E7ED4" w:rsidP="005E7321">
            <w:pPr>
              <w:spacing w:before="100" w:beforeAutospacing="1" w:after="100" w:afterAutospacing="1"/>
              <w:jc w:val="both"/>
              <w:rPr>
                <w:lang w:val="uk-UA" w:eastAsia="ru-RU"/>
              </w:rPr>
            </w:pPr>
            <w:r>
              <w:rPr>
                <w:rFonts w:eastAsia="Calibri"/>
                <w:lang w:val="uk-UA"/>
              </w:rPr>
              <w:t>В</w:t>
            </w:r>
            <w:r w:rsidR="005E7321">
              <w:rPr>
                <w:rFonts w:eastAsia="Calibri"/>
                <w:lang w:val="uk-UA"/>
              </w:rPr>
              <w:t>ища освіта</w:t>
            </w:r>
            <w:r w:rsidR="005E7321" w:rsidRPr="00EE63DA">
              <w:rPr>
                <w:rFonts w:eastAsia="Calibri"/>
                <w:lang w:val="uk-UA"/>
              </w:rPr>
              <w:t xml:space="preserve"> за освітньо-кваліфікаційн</w:t>
            </w:r>
            <w:r w:rsidR="005E7321">
              <w:rPr>
                <w:rFonts w:eastAsia="Calibri"/>
                <w:lang w:val="uk-UA"/>
              </w:rPr>
              <w:t xml:space="preserve">им рівнем </w:t>
            </w:r>
            <w:r>
              <w:rPr>
                <w:rFonts w:eastAsia="Calibri"/>
                <w:lang w:val="uk-UA"/>
              </w:rPr>
              <w:t xml:space="preserve">не нижче бакалавра або молодшого бакалавра </w:t>
            </w:r>
            <w:r w:rsidR="00252A95">
              <w:rPr>
                <w:rFonts w:eastAsia="Calibri"/>
                <w:lang w:val="uk-UA"/>
              </w:rPr>
              <w:t>за напрямом (екноміка підприємства, фінанси, облік, аудит тощо)</w:t>
            </w:r>
          </w:p>
        </w:tc>
      </w:tr>
      <w:tr w:rsidR="005E7321" w:rsidRPr="004E7ED4" w14:paraId="712556ED" w14:textId="77777777" w:rsidTr="000B7EB5">
        <w:tc>
          <w:tcPr>
            <w:tcW w:w="710" w:type="dxa"/>
          </w:tcPr>
          <w:p w14:paraId="7EAD0FCD" w14:textId="77777777" w:rsidR="005E7321" w:rsidRPr="00EE63DA" w:rsidRDefault="005E7321" w:rsidP="005E7321">
            <w:pPr>
              <w:jc w:val="center"/>
              <w:rPr>
                <w:lang w:val="uk-UA"/>
              </w:rPr>
            </w:pPr>
            <w:r w:rsidRPr="00EE63DA">
              <w:rPr>
                <w:lang w:val="uk-UA"/>
              </w:rPr>
              <w:t>2.</w:t>
            </w:r>
          </w:p>
        </w:tc>
        <w:tc>
          <w:tcPr>
            <w:tcW w:w="2835" w:type="dxa"/>
          </w:tcPr>
          <w:p w14:paraId="50443A83" w14:textId="77777777" w:rsidR="005E7321" w:rsidRPr="00EE63DA" w:rsidRDefault="005E7321" w:rsidP="005E7321">
            <w:pPr>
              <w:spacing w:before="100" w:beforeAutospacing="1" w:after="100" w:afterAutospacing="1"/>
              <w:rPr>
                <w:lang w:val="uk-UA" w:eastAsia="ru-RU"/>
              </w:rPr>
            </w:pPr>
            <w:r w:rsidRPr="00EE63DA">
              <w:rPr>
                <w:lang w:val="uk-UA" w:eastAsia="ru-RU"/>
              </w:rPr>
              <w:t>Досвід роботи</w:t>
            </w:r>
          </w:p>
        </w:tc>
        <w:tc>
          <w:tcPr>
            <w:tcW w:w="6804" w:type="dxa"/>
          </w:tcPr>
          <w:p w14:paraId="648583FC" w14:textId="5C96259B" w:rsidR="005E7321" w:rsidRPr="00090F36" w:rsidRDefault="00792452" w:rsidP="005E7321">
            <w:pPr>
              <w:spacing w:before="100" w:beforeAutospacing="1" w:after="100" w:afterAutospacing="1"/>
              <w:jc w:val="both"/>
              <w:rPr>
                <w:rFonts w:eastAsia="Calibri"/>
                <w:lang w:val="uk-UA"/>
              </w:rPr>
            </w:pPr>
            <w:r>
              <w:rPr>
                <w:rFonts w:eastAsia="Calibri"/>
                <w:lang w:val="uk-UA"/>
              </w:rPr>
              <w:t>Без досвіду роботи</w:t>
            </w:r>
          </w:p>
        </w:tc>
      </w:tr>
      <w:tr w:rsidR="005E7321" w:rsidRPr="00EE63DA" w14:paraId="5B922785" w14:textId="77777777" w:rsidTr="000B7EB5">
        <w:tc>
          <w:tcPr>
            <w:tcW w:w="710" w:type="dxa"/>
          </w:tcPr>
          <w:p w14:paraId="4084B005" w14:textId="77777777" w:rsidR="005E7321" w:rsidRPr="00EE63DA" w:rsidRDefault="005E7321" w:rsidP="005E7321">
            <w:pPr>
              <w:jc w:val="center"/>
              <w:rPr>
                <w:lang w:val="uk-UA"/>
              </w:rPr>
            </w:pPr>
            <w:r w:rsidRPr="00EE63DA">
              <w:rPr>
                <w:lang w:val="uk-UA"/>
              </w:rPr>
              <w:t>3.</w:t>
            </w:r>
          </w:p>
        </w:tc>
        <w:tc>
          <w:tcPr>
            <w:tcW w:w="2835" w:type="dxa"/>
          </w:tcPr>
          <w:p w14:paraId="3D617547" w14:textId="77777777" w:rsidR="005E7321" w:rsidRPr="00EE63DA" w:rsidRDefault="005E7321" w:rsidP="005E7321">
            <w:pPr>
              <w:spacing w:before="100" w:beforeAutospacing="1" w:after="100" w:afterAutospacing="1"/>
              <w:rPr>
                <w:lang w:val="uk-UA" w:eastAsia="ru-RU"/>
              </w:rPr>
            </w:pPr>
            <w:r w:rsidRPr="00EE63DA">
              <w:rPr>
                <w:lang w:val="uk-UA" w:eastAsia="ru-RU"/>
              </w:rPr>
              <w:t>Володіння державною мовою</w:t>
            </w:r>
          </w:p>
        </w:tc>
        <w:tc>
          <w:tcPr>
            <w:tcW w:w="6804" w:type="dxa"/>
          </w:tcPr>
          <w:p w14:paraId="5EDCE6E1" w14:textId="77777777" w:rsidR="005E7321" w:rsidRPr="00EE63DA" w:rsidRDefault="005E7321" w:rsidP="005E7321">
            <w:pPr>
              <w:spacing w:before="100" w:beforeAutospacing="1" w:after="100" w:afterAutospacing="1"/>
              <w:rPr>
                <w:lang w:val="uk-UA" w:eastAsia="ru-RU"/>
              </w:rPr>
            </w:pPr>
            <w:r w:rsidRPr="00EE63DA">
              <w:rPr>
                <w:lang w:val="uk-UA" w:eastAsia="ru-RU"/>
              </w:rPr>
              <w:t>Вільне володіння державною мовою</w:t>
            </w:r>
          </w:p>
        </w:tc>
      </w:tr>
    </w:tbl>
    <w:p w14:paraId="1102F4BB" w14:textId="77777777" w:rsidR="00E21EF4" w:rsidRPr="00EE63DA" w:rsidRDefault="00E21EF4">
      <w:pPr>
        <w:rPr>
          <w:lang w:val="uk-UA"/>
        </w:rPr>
      </w:pPr>
    </w:p>
    <w:sectPr w:rsidR="00E21EF4" w:rsidRPr="00EE63DA"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0D1646D6"/>
    <w:multiLevelType w:val="hybridMultilevel"/>
    <w:tmpl w:val="36F60578"/>
    <w:lvl w:ilvl="0" w:tplc="059EDF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1D2468"/>
    <w:multiLevelType w:val="hybridMultilevel"/>
    <w:tmpl w:val="CBA4D34A"/>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9845BE"/>
    <w:multiLevelType w:val="hybridMultilevel"/>
    <w:tmpl w:val="B3AA16D2"/>
    <w:lvl w:ilvl="0" w:tplc="44FE124E">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CB4FDD"/>
    <w:multiLevelType w:val="hybridMultilevel"/>
    <w:tmpl w:val="FCE69E42"/>
    <w:lvl w:ilvl="0" w:tplc="2C144B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08354A"/>
    <w:multiLevelType w:val="hybridMultilevel"/>
    <w:tmpl w:val="BF26A82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1"/>
  </w:num>
  <w:num w:numId="6">
    <w:abstractNumId w:val="9"/>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FE"/>
    <w:rsid w:val="00025EE3"/>
    <w:rsid w:val="0004686A"/>
    <w:rsid w:val="00046DA2"/>
    <w:rsid w:val="000501E3"/>
    <w:rsid w:val="00054ECE"/>
    <w:rsid w:val="00072266"/>
    <w:rsid w:val="00074361"/>
    <w:rsid w:val="000818A7"/>
    <w:rsid w:val="00090F36"/>
    <w:rsid w:val="00094E4C"/>
    <w:rsid w:val="000A04ED"/>
    <w:rsid w:val="000B30A3"/>
    <w:rsid w:val="000B7EB5"/>
    <w:rsid w:val="000C37D6"/>
    <w:rsid w:val="000C5111"/>
    <w:rsid w:val="000D04EF"/>
    <w:rsid w:val="000D584E"/>
    <w:rsid w:val="000E0FDE"/>
    <w:rsid w:val="000E26B1"/>
    <w:rsid w:val="00117A28"/>
    <w:rsid w:val="00155318"/>
    <w:rsid w:val="00165BAD"/>
    <w:rsid w:val="001739C7"/>
    <w:rsid w:val="001845BC"/>
    <w:rsid w:val="001A4264"/>
    <w:rsid w:val="001B7ED7"/>
    <w:rsid w:val="001E036C"/>
    <w:rsid w:val="001F18E9"/>
    <w:rsid w:val="0020361A"/>
    <w:rsid w:val="002200AB"/>
    <w:rsid w:val="00223C0A"/>
    <w:rsid w:val="00237270"/>
    <w:rsid w:val="002513B5"/>
    <w:rsid w:val="00252A95"/>
    <w:rsid w:val="002626F9"/>
    <w:rsid w:val="002A2CDD"/>
    <w:rsid w:val="0030197B"/>
    <w:rsid w:val="00325515"/>
    <w:rsid w:val="00325A03"/>
    <w:rsid w:val="00343552"/>
    <w:rsid w:val="00395215"/>
    <w:rsid w:val="00397F4B"/>
    <w:rsid w:val="003C0E23"/>
    <w:rsid w:val="003D223F"/>
    <w:rsid w:val="003D52FE"/>
    <w:rsid w:val="003E4728"/>
    <w:rsid w:val="003F0582"/>
    <w:rsid w:val="004143F6"/>
    <w:rsid w:val="00436228"/>
    <w:rsid w:val="0044506A"/>
    <w:rsid w:val="00464D6E"/>
    <w:rsid w:val="00491E24"/>
    <w:rsid w:val="004B673C"/>
    <w:rsid w:val="004C7860"/>
    <w:rsid w:val="004D269D"/>
    <w:rsid w:val="004E7ED4"/>
    <w:rsid w:val="004F65E6"/>
    <w:rsid w:val="0052408B"/>
    <w:rsid w:val="005318CE"/>
    <w:rsid w:val="0053488D"/>
    <w:rsid w:val="00541E42"/>
    <w:rsid w:val="005576D7"/>
    <w:rsid w:val="005655FD"/>
    <w:rsid w:val="005665DC"/>
    <w:rsid w:val="005759E8"/>
    <w:rsid w:val="005B3104"/>
    <w:rsid w:val="005E7321"/>
    <w:rsid w:val="005F3D84"/>
    <w:rsid w:val="00604627"/>
    <w:rsid w:val="00606D0E"/>
    <w:rsid w:val="00617BE7"/>
    <w:rsid w:val="00642562"/>
    <w:rsid w:val="00656F5E"/>
    <w:rsid w:val="0066542D"/>
    <w:rsid w:val="00671094"/>
    <w:rsid w:val="00673E1B"/>
    <w:rsid w:val="006E0D98"/>
    <w:rsid w:val="006F635B"/>
    <w:rsid w:val="00720F36"/>
    <w:rsid w:val="007405EE"/>
    <w:rsid w:val="00767DC3"/>
    <w:rsid w:val="00792452"/>
    <w:rsid w:val="007A0644"/>
    <w:rsid w:val="007A2B98"/>
    <w:rsid w:val="007B3AEF"/>
    <w:rsid w:val="007C3E48"/>
    <w:rsid w:val="007D3354"/>
    <w:rsid w:val="0080121D"/>
    <w:rsid w:val="00806513"/>
    <w:rsid w:val="00810506"/>
    <w:rsid w:val="00830F6A"/>
    <w:rsid w:val="008610A8"/>
    <w:rsid w:val="00866B4F"/>
    <w:rsid w:val="00884C71"/>
    <w:rsid w:val="00887AA6"/>
    <w:rsid w:val="008975BE"/>
    <w:rsid w:val="008A131C"/>
    <w:rsid w:val="008B3AB1"/>
    <w:rsid w:val="008D4609"/>
    <w:rsid w:val="008D65F2"/>
    <w:rsid w:val="008E1AE5"/>
    <w:rsid w:val="00905C92"/>
    <w:rsid w:val="00922A63"/>
    <w:rsid w:val="00935607"/>
    <w:rsid w:val="00943168"/>
    <w:rsid w:val="009558AA"/>
    <w:rsid w:val="00966A68"/>
    <w:rsid w:val="00984BE0"/>
    <w:rsid w:val="00991F42"/>
    <w:rsid w:val="009E3060"/>
    <w:rsid w:val="009F6832"/>
    <w:rsid w:val="00A050AB"/>
    <w:rsid w:val="00A139DF"/>
    <w:rsid w:val="00A16184"/>
    <w:rsid w:val="00A2304A"/>
    <w:rsid w:val="00A41065"/>
    <w:rsid w:val="00A4271E"/>
    <w:rsid w:val="00A65885"/>
    <w:rsid w:val="00A95898"/>
    <w:rsid w:val="00AB772C"/>
    <w:rsid w:val="00AC265D"/>
    <w:rsid w:val="00B06E22"/>
    <w:rsid w:val="00B35447"/>
    <w:rsid w:val="00B35C4D"/>
    <w:rsid w:val="00B719ED"/>
    <w:rsid w:val="00BA125E"/>
    <w:rsid w:val="00BB42CC"/>
    <w:rsid w:val="00BB4E19"/>
    <w:rsid w:val="00BF15CE"/>
    <w:rsid w:val="00C0029D"/>
    <w:rsid w:val="00C3478D"/>
    <w:rsid w:val="00C4082D"/>
    <w:rsid w:val="00C51C9F"/>
    <w:rsid w:val="00C9393E"/>
    <w:rsid w:val="00CC46DE"/>
    <w:rsid w:val="00CD4F25"/>
    <w:rsid w:val="00CE0CAA"/>
    <w:rsid w:val="00D0439B"/>
    <w:rsid w:val="00D4316F"/>
    <w:rsid w:val="00D5206A"/>
    <w:rsid w:val="00D63CF8"/>
    <w:rsid w:val="00D67FE5"/>
    <w:rsid w:val="00D849D6"/>
    <w:rsid w:val="00D85D11"/>
    <w:rsid w:val="00D9160A"/>
    <w:rsid w:val="00DD0C5E"/>
    <w:rsid w:val="00DD0F10"/>
    <w:rsid w:val="00DF030C"/>
    <w:rsid w:val="00E028DE"/>
    <w:rsid w:val="00E155D7"/>
    <w:rsid w:val="00E21EF4"/>
    <w:rsid w:val="00E403B2"/>
    <w:rsid w:val="00E45DC6"/>
    <w:rsid w:val="00E770B2"/>
    <w:rsid w:val="00E80854"/>
    <w:rsid w:val="00E96883"/>
    <w:rsid w:val="00EE63DA"/>
    <w:rsid w:val="00F04BDB"/>
    <w:rsid w:val="00F30EB4"/>
    <w:rsid w:val="00F354B4"/>
    <w:rsid w:val="00FB1695"/>
    <w:rsid w:val="00FB4436"/>
    <w:rsid w:val="00FD73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AEFD"/>
  <w15:docId w15:val="{3CA58C13-E2D5-44D6-B6A6-B6FD7D3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D8059-1A6D-4EF0-B2A9-2B85EB59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3624</Words>
  <Characters>2067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Хорєва Алла Олександрівна Алла Олександрівна</cp:lastModifiedBy>
  <cp:revision>29</cp:revision>
  <cp:lastPrinted>2022-11-18T12:46:00Z</cp:lastPrinted>
  <dcterms:created xsi:type="dcterms:W3CDTF">2024-06-11T09:03:00Z</dcterms:created>
  <dcterms:modified xsi:type="dcterms:W3CDTF">2025-06-01T08:44:00Z</dcterms:modified>
</cp:coreProperties>
</file>