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C63A0C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627DEE" w:rsidRPr="00627DEE">
        <w:rPr>
          <w:b/>
          <w:sz w:val="28"/>
          <w:szCs w:val="28"/>
          <w:lang w:val="uk-UA" w:eastAsia="ru-RU"/>
        </w:rPr>
        <w:t>відд</w:t>
      </w:r>
      <w:r w:rsidR="00627DEE">
        <w:rPr>
          <w:b/>
          <w:sz w:val="28"/>
          <w:szCs w:val="28"/>
          <w:lang w:val="uk-UA" w:eastAsia="ru-RU"/>
        </w:rPr>
        <w:t xml:space="preserve">ілу </w:t>
      </w:r>
      <w:r w:rsidR="00154099">
        <w:rPr>
          <w:b/>
          <w:sz w:val="28"/>
          <w:szCs w:val="28"/>
          <w:lang w:val="uk-UA" w:eastAsia="ru-RU"/>
        </w:rPr>
        <w:t>управління персоналом</w:t>
      </w:r>
    </w:p>
    <w:p w:rsidR="00F95907" w:rsidRDefault="000832D9" w:rsidP="00237270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</w:p>
    <w:p w:rsidR="00A2304A" w:rsidRPr="00237270" w:rsidRDefault="006F038C" w:rsidP="00237270">
      <w:pPr>
        <w:jc w:val="center"/>
        <w:rPr>
          <w:b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B92501" w:rsidRPr="00B92501" w:rsidRDefault="00B92501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B92501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549"/>
      </w:tblGrid>
      <w:tr w:rsidR="00A2304A" w:rsidRPr="00893301" w:rsidTr="00B92501">
        <w:trPr>
          <w:trHeight w:val="1106"/>
        </w:trPr>
        <w:tc>
          <w:tcPr>
            <w:tcW w:w="10094" w:type="dxa"/>
            <w:gridSpan w:val="3"/>
          </w:tcPr>
          <w:p w:rsidR="008D65F2" w:rsidRPr="00893301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8D65F2" w:rsidRPr="00893301" w:rsidRDefault="00A2304A" w:rsidP="000159E2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  <w:bookmarkStart w:id="2" w:name="_GoBack"/>
            <w:bookmarkEnd w:id="2"/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549" w:type="dxa"/>
          </w:tcPr>
          <w:p w:rsidR="000159E2" w:rsidRPr="00800628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800628">
              <w:rPr>
                <w:lang w:val="uk-UA" w:eastAsia="uk-UA"/>
              </w:rPr>
              <w:t xml:space="preserve">Здійснення заходів щодо організації конкурсного відбору: </w:t>
            </w:r>
          </w:p>
          <w:p w:rsidR="000159E2" w:rsidRPr="009A0D7E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szCs w:val="20"/>
                <w:lang w:val="uk-UA"/>
              </w:rPr>
            </w:pPr>
            <w:r w:rsidRPr="009A0D7E">
              <w:rPr>
                <w:lang w:val="uk-UA" w:eastAsia="uk-UA"/>
              </w:rPr>
              <w:t xml:space="preserve">- </w:t>
            </w:r>
            <w:r w:rsidRPr="009A0D7E">
              <w:rPr>
                <w:szCs w:val="20"/>
                <w:lang w:val="uk-UA"/>
              </w:rPr>
              <w:t>підготовка проектів розпоряджень державної адміністрації, наказів апарату державної адміністрації про оголошення конкурсу, визначення переможця конкурсу;</w:t>
            </w:r>
          </w:p>
          <w:p w:rsidR="000159E2" w:rsidRPr="009A0D7E" w:rsidRDefault="000159E2" w:rsidP="000159E2">
            <w:pPr>
              <w:shd w:val="clear" w:color="auto" w:fill="FFFFFF"/>
              <w:spacing w:before="120"/>
              <w:ind w:left="119" w:right="135"/>
              <w:jc w:val="both"/>
              <w:textAlignment w:val="baseline"/>
              <w:rPr>
                <w:lang w:val="uk-UA"/>
              </w:rPr>
            </w:pPr>
            <w:r w:rsidRPr="009A0D7E">
              <w:rPr>
                <w:szCs w:val="20"/>
                <w:lang w:val="uk-UA"/>
              </w:rPr>
              <w:t xml:space="preserve">- </w:t>
            </w:r>
            <w:r w:rsidRPr="009A0D7E">
              <w:rPr>
                <w:lang w:val="uk-UA"/>
              </w:rPr>
              <w:t xml:space="preserve">підготовка </w:t>
            </w:r>
            <w:proofErr w:type="spellStart"/>
            <w:r w:rsidRPr="009A0D7E">
              <w:rPr>
                <w:lang w:val="uk-UA" w:eastAsia="uk-UA"/>
              </w:rPr>
              <w:t>проєкту</w:t>
            </w:r>
            <w:proofErr w:type="spellEnd"/>
            <w:r w:rsidRPr="009A0D7E">
              <w:rPr>
                <w:lang w:val="uk-UA" w:eastAsia="uk-UA"/>
              </w:rPr>
              <w:t xml:space="preserve"> умов проведення конкурсу на відповідну посаду державної служби, включаючи спеціальні вимоги до осіб, які претендують на зайняття посади державної служби категорії «Б» і «В»</w:t>
            </w:r>
            <w:r w:rsidRPr="009A0D7E">
              <w:rPr>
                <w:lang w:val="uk-UA"/>
              </w:rPr>
              <w:t>;</w:t>
            </w:r>
          </w:p>
          <w:p w:rsidR="000159E2" w:rsidRPr="009A0D7E" w:rsidRDefault="000159E2" w:rsidP="000159E2">
            <w:pPr>
              <w:shd w:val="clear" w:color="auto" w:fill="FFFFFF"/>
              <w:spacing w:before="120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9A0D7E">
              <w:rPr>
                <w:szCs w:val="20"/>
                <w:lang w:val="uk-UA"/>
              </w:rPr>
              <w:t xml:space="preserve">- </w:t>
            </w:r>
            <w:r w:rsidRPr="009A0D7E">
              <w:rPr>
                <w:lang w:val="uk-UA" w:eastAsia="uk-UA"/>
              </w:rPr>
              <w:t>розміщення у встановленому порядку на Єдиному порталі вакансій державної служби наказ (розпорядження) суб'єкта призначення або керівника державної служби про оголошення конкурсу на зайняття посад категорій «Б» і «В» та умови його проведення, а також інформацію про переможця (переможців) конкурсу або їх відсутність;</w:t>
            </w:r>
          </w:p>
          <w:p w:rsidR="000159E2" w:rsidRPr="009A0D7E" w:rsidRDefault="000159E2" w:rsidP="000159E2">
            <w:pPr>
              <w:shd w:val="clear" w:color="auto" w:fill="FFFFFF"/>
              <w:spacing w:before="120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9A0D7E">
              <w:rPr>
                <w:shd w:val="clear" w:color="auto" w:fill="FFFFFF"/>
                <w:lang w:val="uk-UA"/>
              </w:rPr>
              <w:t xml:space="preserve">- </w:t>
            </w:r>
            <w:r w:rsidRPr="009A0D7E">
              <w:rPr>
                <w:lang w:val="uk-UA" w:eastAsia="uk-UA"/>
              </w:rPr>
              <w:t>розгляд інформації, поданої кандидатами для участі у конкурсі на зайняття посад державної служби категорії «Б» і «В» в апараті державної адміністрації, посад керівників структурних підрозділів з правом юридичної особи публічного права, повідомлення кандидатів про результати розгляду поданої ними інформації для участі у конкурсі, результати розв'язання ситуаційних завдань, проведення співбесіди, допущення (недопущення) до наступного етапу конкурсу, а також здійснює інші заходи щодо організації конкурсного відбору відповідно до законодавства;</w:t>
            </w:r>
          </w:p>
          <w:p w:rsidR="000159E2" w:rsidRPr="009A0D7E" w:rsidRDefault="000159E2" w:rsidP="000159E2">
            <w:pPr>
              <w:shd w:val="clear" w:color="auto" w:fill="FFFFFF"/>
              <w:spacing w:before="120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9A0D7E">
              <w:rPr>
                <w:lang w:val="uk-UA" w:eastAsia="uk-UA"/>
              </w:rPr>
              <w:t>- проведення перевірки поданої інформації на відповідність встановленим законом вимогам, подання інформації конкурсній комісії;</w:t>
            </w:r>
          </w:p>
          <w:p w:rsidR="000548AE" w:rsidRDefault="000159E2" w:rsidP="000159E2">
            <w:pPr>
              <w:jc w:val="both"/>
              <w:rPr>
                <w:lang w:val="uk-UA" w:eastAsia="uk-UA"/>
              </w:rPr>
            </w:pPr>
            <w:r w:rsidRPr="009A0D7E">
              <w:rPr>
                <w:lang w:val="uk-UA" w:eastAsia="uk-UA"/>
              </w:rPr>
              <w:t>- виконання повноважень адміністратора конкурсу.</w:t>
            </w:r>
          </w:p>
          <w:p w:rsidR="000159E2" w:rsidRPr="00D709CB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D709CB">
              <w:rPr>
                <w:lang w:val="uk-UA" w:eastAsia="uk-UA"/>
              </w:rPr>
              <w:t>Забезпечення:</w:t>
            </w:r>
          </w:p>
          <w:p w:rsidR="000159E2" w:rsidRPr="009A0D7E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9A0D7E">
              <w:rPr>
                <w:lang w:val="uk-UA" w:eastAsia="uk-UA"/>
              </w:rPr>
              <w:t xml:space="preserve">- підготовки матеріалів щодо призначення на посади та звільнення персоналу апарату державної адміністрації, керівників структурних підрозділів з правом юридичної особи; </w:t>
            </w:r>
          </w:p>
          <w:p w:rsidR="000159E2" w:rsidRPr="009A0D7E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szCs w:val="28"/>
                <w:lang w:val="uk-UA"/>
              </w:rPr>
            </w:pPr>
            <w:r w:rsidRPr="009A0D7E">
              <w:rPr>
                <w:szCs w:val="28"/>
                <w:lang w:val="uk-UA"/>
              </w:rPr>
              <w:t>- контроль за підготовкою та своєчасним поданням повідомлення про прийняття працівника на роботу до ДПІ у Святошинському районі ГУ ДФС у м. Києві</w:t>
            </w:r>
            <w:r w:rsidRPr="009A0D7E">
              <w:rPr>
                <w:lang w:val="uk-UA" w:eastAsia="uk-UA"/>
              </w:rPr>
              <w:t>;</w:t>
            </w:r>
          </w:p>
          <w:p w:rsidR="000159E2" w:rsidRPr="009A0D7E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9A0D7E">
              <w:rPr>
                <w:szCs w:val="20"/>
                <w:lang w:val="uk-UA"/>
              </w:rPr>
              <w:t>- моніторинг за присвоєнням рангів державних службовців, встановленням надбавок за вислугу років працівникам апарату державної адміністрації, керівникам структурних підрозділів державної адміністрації з правом юридичної особи, оформлення відповідних документів</w:t>
            </w:r>
            <w:r>
              <w:rPr>
                <w:szCs w:val="20"/>
                <w:lang w:val="uk-UA"/>
              </w:rPr>
              <w:t>;</w:t>
            </w:r>
            <w:r w:rsidRPr="009A0D7E">
              <w:rPr>
                <w:szCs w:val="20"/>
                <w:lang w:val="uk-UA"/>
              </w:rPr>
              <w:t xml:space="preserve"> </w:t>
            </w:r>
          </w:p>
          <w:p w:rsidR="000159E2" w:rsidRPr="009A0D7E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szCs w:val="28"/>
                <w:lang w:val="uk-UA"/>
              </w:rPr>
            </w:pPr>
            <w:r w:rsidRPr="009A0D7E">
              <w:rPr>
                <w:szCs w:val="28"/>
                <w:lang w:val="uk-UA"/>
              </w:rPr>
              <w:lastRenderedPageBreak/>
              <w:t>- подання відомостей про призначених працівників апарату до сектору з питань охорони праці, відповідальному за пожежну безпеку;</w:t>
            </w:r>
          </w:p>
          <w:p w:rsidR="000159E2" w:rsidRDefault="000159E2" w:rsidP="000159E2">
            <w:pPr>
              <w:jc w:val="both"/>
              <w:rPr>
                <w:lang w:val="uk-UA" w:eastAsia="uk-UA"/>
              </w:rPr>
            </w:pPr>
            <w:r w:rsidRPr="009A0D7E">
              <w:rPr>
                <w:szCs w:val="28"/>
                <w:lang w:val="uk-UA"/>
              </w:rPr>
              <w:t xml:space="preserve">- </w:t>
            </w:r>
            <w:r w:rsidRPr="009A0D7E">
              <w:rPr>
                <w:lang w:val="uk-UA" w:eastAsia="uk-UA"/>
              </w:rPr>
              <w:t>видачі у встановленому порядку звільненій особі копії розпорядження (наказу апарату) державної адміністрації про звільнення, належно оформленої трудової книжки.</w:t>
            </w:r>
          </w:p>
          <w:p w:rsidR="000159E2" w:rsidRPr="00D709CB" w:rsidRDefault="000159E2" w:rsidP="000159E2">
            <w:pPr>
              <w:shd w:val="clear" w:color="auto" w:fill="FFFFFF"/>
              <w:ind w:left="119" w:right="135"/>
              <w:jc w:val="both"/>
              <w:textAlignment w:val="baseline"/>
              <w:rPr>
                <w:lang w:val="uk-UA" w:eastAsia="uk-UA"/>
              </w:rPr>
            </w:pPr>
            <w:r w:rsidRPr="00D709CB">
              <w:rPr>
                <w:lang w:val="uk-UA" w:eastAsia="uk-UA"/>
              </w:rPr>
              <w:t xml:space="preserve">Забезпечення організації </w:t>
            </w:r>
            <w:r w:rsidRPr="00F82FF8">
              <w:rPr>
                <w:lang w:val="uk-UA" w:eastAsia="uk-UA"/>
              </w:rPr>
              <w:t>проведення</w:t>
            </w:r>
            <w:r w:rsidRPr="00D709CB">
              <w:rPr>
                <w:lang w:val="uk-UA" w:eastAsia="uk-UA"/>
              </w:rPr>
              <w:t>:</w:t>
            </w:r>
          </w:p>
          <w:p w:rsidR="000159E2" w:rsidRPr="000159E2" w:rsidRDefault="000159E2" w:rsidP="000159E2">
            <w:pPr>
              <w:pStyle w:val="a6"/>
              <w:shd w:val="clear" w:color="auto" w:fill="FFFFFF"/>
              <w:ind w:left="0" w:right="135"/>
              <w:jc w:val="both"/>
              <w:textAlignment w:val="baseline"/>
              <w:rPr>
                <w:lang w:val="uk-UA" w:eastAsia="uk-UA"/>
              </w:rPr>
            </w:pPr>
            <w:r w:rsidRPr="000159E2">
              <w:rPr>
                <w:lang w:val="uk-UA" w:eastAsia="uk-UA"/>
              </w:rPr>
              <w:t>- спеціальної перевірки щодо осіб, які претендують на зайняття посад у державній адміністрації та передбачають зайняття відповідального або особливо відповідального становища, а також посад з підвищеним корупційним ризиком, перелік яких затверджується Національним агентством з питань запобігання корупції;</w:t>
            </w:r>
          </w:p>
          <w:p w:rsidR="000159E2" w:rsidRPr="000159E2" w:rsidRDefault="000159E2" w:rsidP="000159E2">
            <w:pPr>
              <w:jc w:val="both"/>
              <w:rPr>
                <w:lang w:val="uk-UA" w:eastAsia="uk-UA"/>
              </w:rPr>
            </w:pPr>
            <w:r w:rsidRPr="000159E2">
              <w:rPr>
                <w:lang w:val="uk-UA" w:eastAsia="uk-UA"/>
              </w:rPr>
              <w:t xml:space="preserve">- перевірки достовірності відомостей щодо застосування заборон, передбачених </w:t>
            </w:r>
            <w:hyperlink r:id="rId6" w:anchor="n13" w:tgtFrame="_blank" w:history="1">
              <w:r w:rsidRPr="000159E2">
                <w:rPr>
                  <w:lang w:val="uk-UA" w:eastAsia="uk-UA"/>
                </w:rPr>
                <w:t>частинами третьою</w:t>
              </w:r>
            </w:hyperlink>
            <w:r w:rsidRPr="000159E2">
              <w:rPr>
                <w:lang w:val="uk-UA" w:eastAsia="uk-UA"/>
              </w:rPr>
              <w:t xml:space="preserve"> і </w:t>
            </w:r>
            <w:hyperlink r:id="rId7" w:anchor="n14" w:tgtFrame="_blank" w:history="1">
              <w:r w:rsidRPr="000159E2">
                <w:rPr>
                  <w:lang w:val="uk-UA" w:eastAsia="uk-UA"/>
                </w:rPr>
                <w:t>четвертою</w:t>
              </w:r>
            </w:hyperlink>
            <w:r w:rsidRPr="000159E2">
              <w:rPr>
                <w:lang w:val="uk-UA" w:eastAsia="uk-UA"/>
              </w:rPr>
              <w:t xml:space="preserve"> статті 1 Закону України «Про очищення влади», підготовки довідки про її результати.</w:t>
            </w:r>
          </w:p>
          <w:p w:rsidR="000159E2" w:rsidRDefault="000159E2" w:rsidP="000159E2">
            <w:pPr>
              <w:ind w:firstLine="200"/>
              <w:jc w:val="both"/>
              <w:rPr>
                <w:lang w:val="uk-UA" w:eastAsia="uk-UA"/>
              </w:rPr>
            </w:pPr>
            <w:r w:rsidRPr="00D56E21">
              <w:rPr>
                <w:lang w:val="uk-UA" w:eastAsia="uk-UA"/>
              </w:rPr>
              <w:t>Організація складення Присяги державного службовця особою, яка вперше вступає на державну службу, ознайомлення державних службовців з правилами внутрішнього службового розпорядку державної адміністрації, посадовими інструкціями та іншими документами з проставленням ними підписів та дати ознайомлення.</w:t>
            </w:r>
          </w:p>
          <w:p w:rsidR="000159E2" w:rsidRDefault="000159E2" w:rsidP="000159E2">
            <w:pPr>
              <w:ind w:firstLine="342"/>
              <w:jc w:val="both"/>
              <w:rPr>
                <w:lang w:val="uk-UA" w:eastAsia="uk-UA"/>
              </w:rPr>
            </w:pPr>
            <w:r w:rsidRPr="00D56E21">
              <w:rPr>
                <w:lang w:val="uk-UA"/>
              </w:rPr>
              <w:t xml:space="preserve">Обчислення стажу роботи, досвіду роботи у відповідній сфері, досвіду роботи на керівних посадах, стажу державної служби для призначення на відповідну посаду державної служби та під час проходження служби працівників апарату державної адміністрації, керівників </w:t>
            </w:r>
            <w:r w:rsidRPr="00D56E21">
              <w:rPr>
                <w:lang w:val="uk-UA" w:eastAsia="uk-UA"/>
              </w:rPr>
              <w:t>структурних підрозділів з правом юридичної особи.</w:t>
            </w:r>
          </w:p>
          <w:p w:rsidR="000159E2" w:rsidRDefault="000159E2" w:rsidP="000159E2">
            <w:pPr>
              <w:ind w:firstLine="342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56E21">
              <w:rPr>
                <w:szCs w:val="28"/>
                <w:lang w:val="uk-UA"/>
              </w:rPr>
              <w:t>Здійснення заходів щодо організації оцінювання результатів службової діяльності державних службовців, узагальнення результатів виконання завдань державними службовцями, надання консультативної допомоги з питань проведення оцінювання</w:t>
            </w:r>
          </w:p>
          <w:p w:rsidR="000159E2" w:rsidRPr="0099326E" w:rsidRDefault="000159E2" w:rsidP="000159E2">
            <w:pPr>
              <w:ind w:firstLine="708"/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549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AB2BAF">
              <w:rPr>
                <w:lang w:val="uk-UA" w:eastAsia="ru-RU"/>
              </w:rPr>
              <w:t>14820</w:t>
            </w:r>
            <w:r w:rsidR="00893301" w:rsidRPr="00572E59">
              <w:rPr>
                <w:lang w:val="uk-UA" w:eastAsia="ru-RU"/>
              </w:rPr>
              <w:t>, 00</w:t>
            </w:r>
            <w:r w:rsidRPr="00572E59">
              <w:rPr>
                <w:lang w:val="uk-UA" w:eastAsia="ru-RU"/>
              </w:rPr>
              <w:t xml:space="preserve"> грн. </w:t>
            </w:r>
          </w:p>
          <w:p w:rsidR="008A4D44" w:rsidRPr="00C35840" w:rsidRDefault="008A4D44" w:rsidP="008A4D44">
            <w:pPr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премія – до 30 % посадового окладу,</w:t>
            </w:r>
          </w:p>
          <w:p w:rsidR="008A4D44" w:rsidRPr="00C35840" w:rsidRDefault="008A4D44" w:rsidP="008A4D44">
            <w:pPr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надбавка за ранг державного службовця,</w:t>
            </w:r>
          </w:p>
          <w:p w:rsidR="007A2B98" w:rsidRPr="00893301" w:rsidRDefault="008A4D44" w:rsidP="004D269D">
            <w:pPr>
              <w:jc w:val="both"/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надбавки, доплати, та компенсації відповідно до статті 52 Закону України «Про державну службу».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49" w:type="dxa"/>
          </w:tcPr>
          <w:p w:rsidR="007A2B98" w:rsidRPr="00893301" w:rsidRDefault="002A2CDD" w:rsidP="00325A03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="000159E2">
              <w:rPr>
                <w:color w:val="000000"/>
                <w:lang w:val="uk-UA"/>
              </w:rPr>
              <w:t xml:space="preserve">на період соціальної відпустки для догляду за дитиною основного працівника, </w:t>
            </w:r>
            <w:r w:rsidRPr="00893301">
              <w:rPr>
                <w:color w:val="000000"/>
                <w:lang w:val="uk-UA"/>
              </w:rPr>
              <w:t>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074361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549" w:type="dxa"/>
          </w:tcPr>
          <w:p w:rsidR="00893301" w:rsidRPr="00893301" w:rsidRDefault="000624A1" w:rsidP="00893301">
            <w:pPr>
              <w:ind w:left="57"/>
              <w:rPr>
                <w:lang w:val="uk-UA" w:eastAsia="ru-RU"/>
              </w:rPr>
            </w:pPr>
            <w:r>
              <w:rPr>
                <w:lang w:val="uk-UA" w:eastAsia="ru-RU"/>
              </w:rPr>
              <w:t>Рудійко Ірина Олекс</w:t>
            </w:r>
            <w:r w:rsidR="00893301" w:rsidRPr="00893301">
              <w:rPr>
                <w:lang w:val="uk-UA" w:eastAsia="ru-RU"/>
              </w:rPr>
              <w:t>і</w:t>
            </w:r>
            <w:r>
              <w:rPr>
                <w:lang w:val="uk-UA" w:eastAsia="ru-RU"/>
              </w:rPr>
              <w:t>ї</w:t>
            </w:r>
            <w:r w:rsidR="00893301" w:rsidRPr="00893301">
              <w:rPr>
                <w:lang w:val="uk-UA" w:eastAsia="ru-RU"/>
              </w:rPr>
              <w:t>вна,</w:t>
            </w:r>
          </w:p>
          <w:p w:rsidR="00893301" w:rsidRPr="00893301" w:rsidRDefault="000624A1" w:rsidP="00893301">
            <w:pPr>
              <w:ind w:left="57"/>
              <w:rPr>
                <w:lang w:val="uk-UA" w:eastAsia="ru-RU"/>
              </w:rPr>
            </w:pPr>
            <w:r>
              <w:rPr>
                <w:lang w:val="uk-UA" w:eastAsia="ru-RU"/>
              </w:rPr>
              <w:t>т. (044)424 30 66</w:t>
            </w:r>
          </w:p>
          <w:p w:rsidR="00893301" w:rsidRPr="00893301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893301">
              <w:rPr>
                <w:rFonts w:eastAsia="Calibri"/>
                <w:lang w:val="uk-UA"/>
              </w:rPr>
              <w:t>persrsrda@kyivcity.gov.ua</w:t>
            </w:r>
          </w:p>
          <w:p w:rsidR="007A2B98" w:rsidRPr="00893301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B92501">
        <w:tc>
          <w:tcPr>
            <w:tcW w:w="10094" w:type="dxa"/>
            <w:gridSpan w:val="3"/>
          </w:tcPr>
          <w:p w:rsidR="006A0EF4" w:rsidRPr="00893301" w:rsidRDefault="006A0EF4" w:rsidP="006A0EF4">
            <w:pPr>
              <w:rPr>
                <w:b/>
                <w:lang w:val="uk-UA" w:eastAsia="ru-RU"/>
              </w:rPr>
            </w:pPr>
          </w:p>
          <w:p w:rsidR="007A2B98" w:rsidRPr="00893301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lastRenderedPageBreak/>
              <w:t>Кваліфікаційні вимоги</w:t>
            </w:r>
          </w:p>
          <w:p w:rsidR="007A2B98" w:rsidRPr="00893301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lastRenderedPageBreak/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549" w:type="dxa"/>
          </w:tcPr>
          <w:p w:rsidR="000C5111" w:rsidRPr="006A0EF4" w:rsidRDefault="0099326E" w:rsidP="00B433D9">
            <w:pPr>
              <w:jc w:val="both"/>
              <w:rPr>
                <w:rFonts w:eastAsia="Calibri"/>
                <w:color w:val="FFFFFF" w:themeColor="background1"/>
                <w:sz w:val="22"/>
                <w:szCs w:val="22"/>
                <w:lang w:val="uk-UA"/>
              </w:rPr>
            </w:pPr>
            <w:r w:rsidRPr="0099326E">
              <w:rPr>
                <w:rFonts w:eastAsia="Calibri"/>
                <w:lang w:val="uk-UA" w:eastAsia="uk-UA"/>
              </w:rPr>
              <w:t>В</w:t>
            </w:r>
            <w:r w:rsidRPr="0099326E">
              <w:rPr>
                <w:rFonts w:eastAsia="Calibri"/>
                <w:lang w:val="ru-RU" w:eastAsia="uk-UA"/>
              </w:rPr>
              <w:t xml:space="preserve">ища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освіта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за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освітнім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ступенем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не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нижче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бакалавра,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молодшого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бакалавра</w:t>
            </w:r>
            <w:r w:rsidR="00B433D9">
              <w:rPr>
                <w:rFonts w:eastAsia="Calibri"/>
                <w:lang w:val="ru-RU" w:eastAsia="uk-UA"/>
              </w:rPr>
              <w:t>.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549" w:type="dxa"/>
          </w:tcPr>
          <w:p w:rsidR="00B82F12" w:rsidRPr="00893301" w:rsidRDefault="00C8003C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uk-UA"/>
              </w:rPr>
              <w:t>Досвід роботи буде перевагою.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549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B92501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EF42A2"/>
    <w:multiLevelType w:val="hybridMultilevel"/>
    <w:tmpl w:val="A6EC260E"/>
    <w:lvl w:ilvl="0" w:tplc="EFBEC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159E2"/>
    <w:rsid w:val="00025EE3"/>
    <w:rsid w:val="00037FA3"/>
    <w:rsid w:val="0004686A"/>
    <w:rsid w:val="000548AE"/>
    <w:rsid w:val="000624A1"/>
    <w:rsid w:val="000709DE"/>
    <w:rsid w:val="00074361"/>
    <w:rsid w:val="000818A7"/>
    <w:rsid w:val="000832D9"/>
    <w:rsid w:val="00094E4C"/>
    <w:rsid w:val="000A04ED"/>
    <w:rsid w:val="000B5AEA"/>
    <w:rsid w:val="000B7EB5"/>
    <w:rsid w:val="000C5111"/>
    <w:rsid w:val="000D04EF"/>
    <w:rsid w:val="000D0BBA"/>
    <w:rsid w:val="000E0FDE"/>
    <w:rsid w:val="000E26B1"/>
    <w:rsid w:val="000E4435"/>
    <w:rsid w:val="000F7032"/>
    <w:rsid w:val="00117A28"/>
    <w:rsid w:val="001431E2"/>
    <w:rsid w:val="00154099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2A7EA6"/>
    <w:rsid w:val="00325A03"/>
    <w:rsid w:val="00395300"/>
    <w:rsid w:val="003C0E23"/>
    <w:rsid w:val="003D223F"/>
    <w:rsid w:val="003D52FE"/>
    <w:rsid w:val="003E4728"/>
    <w:rsid w:val="003F0582"/>
    <w:rsid w:val="004143F6"/>
    <w:rsid w:val="00415F30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2E59"/>
    <w:rsid w:val="005759E8"/>
    <w:rsid w:val="005A571D"/>
    <w:rsid w:val="005B3104"/>
    <w:rsid w:val="005D204E"/>
    <w:rsid w:val="005E6BDA"/>
    <w:rsid w:val="005F3BC8"/>
    <w:rsid w:val="005F3D84"/>
    <w:rsid w:val="00614271"/>
    <w:rsid w:val="00617BE7"/>
    <w:rsid w:val="00627DEE"/>
    <w:rsid w:val="00642562"/>
    <w:rsid w:val="0066542D"/>
    <w:rsid w:val="00671094"/>
    <w:rsid w:val="006A0EF4"/>
    <w:rsid w:val="006B0F09"/>
    <w:rsid w:val="006C66AB"/>
    <w:rsid w:val="006F038C"/>
    <w:rsid w:val="006F635B"/>
    <w:rsid w:val="00720F36"/>
    <w:rsid w:val="00726E13"/>
    <w:rsid w:val="007279A3"/>
    <w:rsid w:val="00734515"/>
    <w:rsid w:val="007405EE"/>
    <w:rsid w:val="00746285"/>
    <w:rsid w:val="00767DC3"/>
    <w:rsid w:val="0078464E"/>
    <w:rsid w:val="007A2B98"/>
    <w:rsid w:val="007B3AEF"/>
    <w:rsid w:val="007C3E48"/>
    <w:rsid w:val="007F3358"/>
    <w:rsid w:val="0080121D"/>
    <w:rsid w:val="00810506"/>
    <w:rsid w:val="008610A8"/>
    <w:rsid w:val="00866B4F"/>
    <w:rsid w:val="00881263"/>
    <w:rsid w:val="00884C71"/>
    <w:rsid w:val="00887AA6"/>
    <w:rsid w:val="00893301"/>
    <w:rsid w:val="008975BE"/>
    <w:rsid w:val="008A4D44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26E"/>
    <w:rsid w:val="0099366D"/>
    <w:rsid w:val="009E3060"/>
    <w:rsid w:val="009F6832"/>
    <w:rsid w:val="00A139DF"/>
    <w:rsid w:val="00A13BE5"/>
    <w:rsid w:val="00A2304A"/>
    <w:rsid w:val="00A41065"/>
    <w:rsid w:val="00A65885"/>
    <w:rsid w:val="00A725F2"/>
    <w:rsid w:val="00A95898"/>
    <w:rsid w:val="00AB2BAF"/>
    <w:rsid w:val="00AB772C"/>
    <w:rsid w:val="00AC265D"/>
    <w:rsid w:val="00AD1AD2"/>
    <w:rsid w:val="00B02473"/>
    <w:rsid w:val="00B06E22"/>
    <w:rsid w:val="00B35C4D"/>
    <w:rsid w:val="00B433D9"/>
    <w:rsid w:val="00B50203"/>
    <w:rsid w:val="00B719ED"/>
    <w:rsid w:val="00B82F12"/>
    <w:rsid w:val="00B92501"/>
    <w:rsid w:val="00BB42CC"/>
    <w:rsid w:val="00BB4E19"/>
    <w:rsid w:val="00BD7D18"/>
    <w:rsid w:val="00BF15CE"/>
    <w:rsid w:val="00C0029D"/>
    <w:rsid w:val="00C3478D"/>
    <w:rsid w:val="00C4082D"/>
    <w:rsid w:val="00C63A0C"/>
    <w:rsid w:val="00C64719"/>
    <w:rsid w:val="00C8003C"/>
    <w:rsid w:val="00C9393E"/>
    <w:rsid w:val="00CC46DE"/>
    <w:rsid w:val="00CD4F25"/>
    <w:rsid w:val="00CE0CAA"/>
    <w:rsid w:val="00D42648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15017"/>
    <w:rsid w:val="00E155D7"/>
    <w:rsid w:val="00E21EF4"/>
    <w:rsid w:val="00E770B2"/>
    <w:rsid w:val="00E80854"/>
    <w:rsid w:val="00E96883"/>
    <w:rsid w:val="00F04BDB"/>
    <w:rsid w:val="00F507EC"/>
    <w:rsid w:val="00F77D50"/>
    <w:rsid w:val="00F801EF"/>
    <w:rsid w:val="00F95907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B0B4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9DB58-DD74-4B83-BDED-6BACF266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PRDA</dc:creator>
  <cp:lastModifiedBy>Сударікова Ірина Леонідівна</cp:lastModifiedBy>
  <cp:revision>12</cp:revision>
  <cp:lastPrinted>2022-11-18T12:46:00Z</cp:lastPrinted>
  <dcterms:created xsi:type="dcterms:W3CDTF">2025-02-03T13:05:00Z</dcterms:created>
  <dcterms:modified xsi:type="dcterms:W3CDTF">2025-03-18T10:39:00Z</dcterms:modified>
</cp:coreProperties>
</file>