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>відділу управління персоналом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99183E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B12" w:rsidRPr="00941CA1" w:rsidRDefault="00C53B12" w:rsidP="00C53B12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1. </w:t>
            </w:r>
            <w:r w:rsidRPr="00941CA1">
              <w:rPr>
                <w:sz w:val="26"/>
                <w:szCs w:val="26"/>
                <w:lang w:val="uk-UA"/>
              </w:rPr>
              <w:t>Забезпечення проведення: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моніторингу виконання завдань та ключових показників;</w:t>
            </w:r>
          </w:p>
          <w:p w:rsidR="00C53B12" w:rsidRPr="00941CA1" w:rsidRDefault="003A2606" w:rsidP="00C53B12">
            <w:pPr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оцінювання результатів службової діяльності державних службовців апарату, які займають посади державної служби категорій «Б» і «В».</w:t>
            </w:r>
          </w:p>
          <w:p w:rsidR="00C53B12" w:rsidRPr="00941CA1" w:rsidRDefault="00E215D9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2. </w:t>
            </w:r>
            <w:r w:rsidR="00C53B12" w:rsidRPr="00941CA1">
              <w:rPr>
                <w:sz w:val="26"/>
                <w:szCs w:val="26"/>
                <w:lang w:val="uk-UA"/>
              </w:rPr>
              <w:t>Забезпечення підвищення рівня професійної компетентності державних службовців апарату адміністрації: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узагальнення потреби державних службовців у підготовці, підвищенні кваліфікації;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планування професійного навчання;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складання разом із державним службовцем індивідуальної програми підвищення рівня професійної компетентності за результатами оцінювання його службової діяльності;</w:t>
            </w:r>
          </w:p>
          <w:p w:rsidR="00941CA1" w:rsidRPr="00941CA1" w:rsidRDefault="00C53B12" w:rsidP="00C53B12">
            <w:pPr>
              <w:tabs>
                <w:tab w:val="left" w:pos="128"/>
              </w:tabs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sz w:val="26"/>
                <w:szCs w:val="26"/>
                <w:lang w:val="uk-UA"/>
              </w:rPr>
              <w:t>проведення внутрішніх навчань.</w:t>
            </w:r>
          </w:p>
          <w:p w:rsidR="00E215D9" w:rsidRPr="00941CA1" w:rsidRDefault="00E215D9" w:rsidP="00C53B12">
            <w:pPr>
              <w:tabs>
                <w:tab w:val="left" w:pos="128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3.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Формування графіку відпусток, 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наказу та розпорядження про затвердження графіку відпусток.</w:t>
            </w:r>
          </w:p>
          <w:p w:rsidR="00E215D9" w:rsidRPr="00941CA1" w:rsidRDefault="00E215D9" w:rsidP="00C53B12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4.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</w:t>
            </w:r>
            <w:r w:rsidR="00600326">
              <w:rPr>
                <w:sz w:val="26"/>
                <w:szCs w:val="26"/>
                <w:lang w:val="uk-UA"/>
              </w:rPr>
              <w:t>ів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наказів та ознайомлення під особистий підпис працівників адміністрації.</w:t>
            </w:r>
          </w:p>
          <w:p w:rsidR="00E215D9" w:rsidRPr="009244FB" w:rsidRDefault="00E215D9" w:rsidP="00C53B12">
            <w:pPr>
              <w:ind w:left="128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>5. Підготовка відповіді на контрольні документи за дорученням начальника відділу.</w:t>
            </w:r>
          </w:p>
        </w:tc>
      </w:tr>
      <w:tr w:rsidR="00AE55DF" w:rsidRPr="0099183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99183E">
              <w:rPr>
                <w:sz w:val="25"/>
                <w:szCs w:val="25"/>
                <w:lang w:val="uk-UA"/>
              </w:rPr>
              <w:t>14</w:t>
            </w:r>
            <w:r w:rsidR="001B1AE7" w:rsidRPr="009244FB">
              <w:rPr>
                <w:sz w:val="25"/>
                <w:szCs w:val="25"/>
                <w:lang w:val="uk-UA"/>
              </w:rPr>
              <w:t xml:space="preserve"> 8</w:t>
            </w:r>
            <w:r w:rsidR="0099183E">
              <w:rPr>
                <w:sz w:val="25"/>
                <w:szCs w:val="25"/>
                <w:lang w:val="uk-UA"/>
              </w:rPr>
              <w:t>2</w:t>
            </w:r>
            <w:bookmarkStart w:id="1" w:name="_GoBack"/>
            <w:bookmarkEnd w:id="1"/>
            <w:r w:rsidR="00EC604D">
              <w:rPr>
                <w:sz w:val="25"/>
                <w:szCs w:val="25"/>
                <w:lang w:val="uk-UA"/>
              </w:rPr>
              <w:t>0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15216E" w:rsidRPr="009244FB" w:rsidRDefault="0015216E" w:rsidP="008070D5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99183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15216E" w:rsidRPr="009244FB" w:rsidRDefault="0015216E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99183E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99183E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99183E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бакалавра,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99183E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99183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99183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99183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244FB" w:rsidRPr="0099183E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F6B9F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334055"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F6B9F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334055" w:rsidRPr="00316C8E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</w:p>
          <w:p w:rsidR="00334055" w:rsidRPr="00316C8E" w:rsidRDefault="00334055" w:rsidP="003A2606">
            <w:pPr>
              <w:tabs>
                <w:tab w:val="left" w:pos="37"/>
                <w:tab w:val="left" w:pos="128"/>
              </w:tabs>
              <w:ind w:left="37" w:right="133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244FB" w:rsidRPr="00334055" w:rsidRDefault="00334055" w:rsidP="003A2606">
            <w:pPr>
              <w:tabs>
                <w:tab w:val="left" w:pos="128"/>
              </w:tabs>
              <w:ind w:right="133"/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99183E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AA4A6B" w:rsidRPr="00A050A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відпустки»;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AA4A6B" w:rsidRPr="00F26634" w:rsidRDefault="00AA4A6B" w:rsidP="003F6B9F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Кодекс законів про працю України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Регламент Подільської районної в місті Києві державної адміністрації.</w:t>
            </w:r>
          </w:p>
          <w:p w:rsidR="000335CE" w:rsidRPr="00AA4A6B" w:rsidRDefault="00AA4A6B" w:rsidP="003F6B9F">
            <w:pPr>
              <w:ind w:left="135" w:hanging="2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управління персоналом</w:t>
            </w:r>
            <w:r w:rsidRPr="00AA4A6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апарату Подільської районної в місті Києві державної адміністрації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9183E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D35883"/>
    <w:rsid w:val="00D61D87"/>
    <w:rsid w:val="00D9061E"/>
    <w:rsid w:val="00DA0B72"/>
    <w:rsid w:val="00DF0099"/>
    <w:rsid w:val="00E215D9"/>
    <w:rsid w:val="00EA1053"/>
    <w:rsid w:val="00EA62EE"/>
    <w:rsid w:val="00EC604D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6CC0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E389-9F03-419A-8538-BE0C4B6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53</cp:revision>
  <cp:lastPrinted>2024-08-05T11:04:00Z</cp:lastPrinted>
  <dcterms:created xsi:type="dcterms:W3CDTF">2022-09-20T15:07:00Z</dcterms:created>
  <dcterms:modified xsi:type="dcterms:W3CDTF">2025-04-01T08:26:00Z</dcterms:modified>
</cp:coreProperties>
</file>