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7D6F08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10.06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08:24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D6F08" w:rsidRDefault="007D6F08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та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28 у Голосіївському районі міста Києва».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7D6F08"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UA-2026-06-10-000187-a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D6F08" w:rsidRDefault="007D6F08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та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внутрішньоквартальних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проїздів за </w:t>
      </w:r>
      <w:proofErr w:type="spellStart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: вулиця Академіка Заболотного, 28 у Голосіївському районі міста Києва». код ДК 021:2015 - 45453000-7 (Капітальний ремонт і реставрація).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D6F08" w:rsidRPr="007D6F08">
        <w:rPr>
          <w:bCs/>
          <w:color w:val="000000" w:themeColor="text1"/>
          <w:kern w:val="36"/>
          <w:sz w:val="22"/>
          <w:szCs w:val="22"/>
          <w:lang w:val="uk-UA"/>
        </w:rPr>
        <w:t>вулиця Академіка Заболотного, 28</w:t>
      </w:r>
      <w:r w:rsidR="007D6F0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міста Києва на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>я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D6F08" w:rsidRPr="007D6F08">
        <w:rPr>
          <w:bCs/>
          <w:color w:val="000000" w:themeColor="text1"/>
          <w:kern w:val="36"/>
          <w:sz w:val="22"/>
          <w:szCs w:val="22"/>
          <w:lang w:val="uk-UA"/>
        </w:rPr>
        <w:t>2 958 251</w:t>
      </w:r>
      <w:r w:rsidR="002D6525">
        <w:rPr>
          <w:bCs/>
          <w:color w:val="000000" w:themeColor="text1"/>
          <w:kern w:val="36"/>
          <w:sz w:val="22"/>
          <w:szCs w:val="22"/>
          <w:lang w:val="uk-UA"/>
        </w:rPr>
        <w:t xml:space="preserve">,00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7D6F08" w:rsidRPr="007D6F08">
        <w:rPr>
          <w:b/>
          <w:bCs/>
          <w:color w:val="000000" w:themeColor="text1"/>
          <w:kern w:val="36"/>
          <w:sz w:val="22"/>
          <w:szCs w:val="22"/>
          <w:lang w:val="uk-UA"/>
        </w:rPr>
        <w:t>UA-2026-06-10-000187-a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  <w:bookmarkStart w:id="0" w:name="_GoBack"/>
      <w:bookmarkEnd w:id="0"/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D6525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D6F08"/>
    <w:rsid w:val="007E092A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B542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55</cp:revision>
  <cp:lastPrinted>2026-05-21T12:55:00Z</cp:lastPrinted>
  <dcterms:created xsi:type="dcterms:W3CDTF">2024-05-16T10:12:00Z</dcterms:created>
  <dcterms:modified xsi:type="dcterms:W3CDTF">2026-06-16T06:13:00Z</dcterms:modified>
</cp:coreProperties>
</file>