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2F49FC">
        <w:rPr>
          <w:b/>
          <w:bCs/>
          <w:color w:val="333333"/>
          <w:kern w:val="36"/>
          <w:sz w:val="20"/>
          <w:szCs w:val="20"/>
          <w:lang w:val="uk-UA"/>
        </w:rPr>
        <w:t>31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87D30" w:rsidRDefault="00A87D3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87D30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/>
          <w:bCs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/>
          <w:bCs/>
          <w:sz w:val="20"/>
          <w:szCs w:val="20"/>
          <w:lang w:val="uk-UA" w:eastAsia="uk-UA"/>
        </w:rPr>
        <w:t>, 3</w:t>
      </w:r>
      <w:r w:rsidR="005C7C6A" w:rsidRPr="005C7C6A">
        <w:rPr>
          <w:b/>
          <w:bCs/>
          <w:sz w:val="20"/>
          <w:szCs w:val="20"/>
          <w:lang w:val="uk-UA" w:eastAsia="uk-UA"/>
        </w:rPr>
        <w:t xml:space="preserve"> </w:t>
      </w:r>
      <w:r w:rsidRPr="00A87D30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2F49F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UA-2024-05-10-010243</w:t>
      </w:r>
      <w:r w:rsidR="005C7C6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A87D30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, 3</w:t>
      </w:r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, 3</w:t>
      </w:r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F49FC">
        <w:rPr>
          <w:bCs/>
          <w:color w:val="000000" w:themeColor="text1"/>
          <w:kern w:val="36"/>
          <w:sz w:val="20"/>
          <w:szCs w:val="20"/>
          <w:lang w:val="uk-UA"/>
        </w:rPr>
        <w:t>2</w:t>
      </w:r>
      <w:r w:rsidR="004F4E03">
        <w:rPr>
          <w:rFonts w:eastAsia="Calibri"/>
          <w:sz w:val="20"/>
          <w:szCs w:val="20"/>
          <w:lang w:val="uk-UA"/>
        </w:rPr>
        <w:t> </w:t>
      </w:r>
      <w:r w:rsidR="002F49FC">
        <w:rPr>
          <w:rFonts w:eastAsia="Calibri"/>
          <w:sz w:val="20"/>
          <w:szCs w:val="20"/>
          <w:lang w:val="uk-UA"/>
        </w:rPr>
        <w:t>267 837</w:t>
      </w:r>
      <w:bookmarkStart w:id="0" w:name="_GoBack"/>
      <w:bookmarkEnd w:id="0"/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2F49FC">
        <w:rPr>
          <w:b/>
          <w:bCs/>
          <w:color w:val="333333"/>
          <w:kern w:val="36"/>
          <w:sz w:val="20"/>
          <w:szCs w:val="20"/>
          <w:lang w:val="uk-UA"/>
        </w:rPr>
        <w:t>v.ua/tender/UA-2024-05-10-010243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2024-05-16T10:12:00Z</dcterms:created>
  <dcterms:modified xsi:type="dcterms:W3CDTF">2024-05-16T10:12:00Z</dcterms:modified>
</cp:coreProperties>
</file>