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24" w:rsidRDefault="00E72624" w:rsidP="00E72624">
      <w:pPr>
        <w:pStyle w:val="1"/>
        <w:spacing w:line="360" w:lineRule="auto"/>
        <w:rPr>
          <w:szCs w:val="28"/>
        </w:rPr>
      </w:pPr>
      <w:r>
        <w:rPr>
          <w:szCs w:val="28"/>
        </w:rPr>
        <w:t>ІНФОРМАЦІЯ</w:t>
      </w:r>
    </w:p>
    <w:p w:rsidR="00E72624" w:rsidRDefault="00E72624" w:rsidP="00E726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підсумки роботи із розгляду звернень громадян</w:t>
      </w:r>
    </w:p>
    <w:p w:rsidR="00E72624" w:rsidRDefault="00E72624" w:rsidP="00E726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Деснянській районній в місті Києві державній адміністрації</w:t>
      </w:r>
    </w:p>
    <w:p w:rsidR="00E72624" w:rsidRPr="00EC2480" w:rsidRDefault="00E72624" w:rsidP="00E7262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період з 01.01.2026  по 30.06.2026</w:t>
      </w:r>
    </w:p>
    <w:p w:rsidR="00E72624" w:rsidRDefault="00E72624" w:rsidP="00E72624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період з 01.01.2025 по 30.06.2025 відділом </w:t>
      </w:r>
      <w:r w:rsidRPr="007E7E30">
        <w:rPr>
          <w:sz w:val="28"/>
          <w:szCs w:val="28"/>
        </w:rPr>
        <w:t>роботи із  зверненнями громадян</w:t>
      </w:r>
      <w:r w:rsidRPr="00B7355B">
        <w:rPr>
          <w:sz w:val="26"/>
          <w:szCs w:val="26"/>
        </w:rPr>
        <w:t xml:space="preserve"> </w:t>
      </w:r>
      <w:r>
        <w:rPr>
          <w:sz w:val="28"/>
          <w:szCs w:val="28"/>
        </w:rPr>
        <w:t>Деснянської райдержадміністрації було зареєстровано 2952 звернень від 4286 громадян, з них:  письмових -</w:t>
      </w:r>
      <w:r>
        <w:rPr>
          <w:color w:val="000000"/>
          <w:sz w:val="28"/>
          <w:szCs w:val="28"/>
        </w:rPr>
        <w:t>2853 звернення,</w:t>
      </w:r>
      <w:r>
        <w:rPr>
          <w:sz w:val="28"/>
          <w:szCs w:val="28"/>
        </w:rPr>
        <w:t xml:space="preserve"> усних -</w:t>
      </w:r>
      <w:r>
        <w:rPr>
          <w:color w:val="000000"/>
          <w:sz w:val="28"/>
          <w:szCs w:val="28"/>
        </w:rPr>
        <w:t xml:space="preserve"> 99 </w:t>
      </w:r>
      <w:r>
        <w:rPr>
          <w:sz w:val="28"/>
          <w:szCs w:val="28"/>
        </w:rPr>
        <w:t xml:space="preserve"> (за 2025 рік відповідно - 1494 звернень громадян, з них: письмових - 1450, усних - 84). </w:t>
      </w:r>
    </w:p>
    <w:p w:rsidR="00E72624" w:rsidRDefault="00E72624" w:rsidP="00E72624">
      <w:pPr>
        <w:spacing w:line="480" w:lineRule="auto"/>
        <w:ind w:firstLine="567"/>
        <w:jc w:val="both"/>
        <w:rPr>
          <w:sz w:val="28"/>
          <w:szCs w:val="28"/>
        </w:rPr>
      </w:pPr>
      <w:r w:rsidRPr="00040241">
        <w:rPr>
          <w:color w:val="000000"/>
          <w:sz w:val="28"/>
          <w:szCs w:val="28"/>
        </w:rPr>
        <w:t xml:space="preserve">Відповідно до вимог Закону України «Про звернення громадян», в адміністрації  забезпечено функціонування електронної пошти для відправлення звернень громадян в електронній формі через офіційний веб-портал Деснянської райдержадміністрації  </w:t>
      </w:r>
      <w:hyperlink r:id="rId5" w:history="1">
        <w:r w:rsidRPr="007E7E3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vrzg_desn</w:t>
        </w:r>
        <w:r w:rsidRPr="007E7E30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rda</w:t>
        </w:r>
        <w:r w:rsidRPr="007E7E3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7E7E30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en-US"/>
          </w:rPr>
          <w:t>kyivcity</w:t>
        </w:r>
        <w:r w:rsidRPr="007E7E3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.gov.ua</w:t>
        </w:r>
      </w:hyperlink>
      <w:r w:rsidRPr="007E7E30">
        <w:rPr>
          <w:sz w:val="28"/>
          <w:szCs w:val="28"/>
        </w:rPr>
        <w:t>.</w:t>
      </w:r>
    </w:p>
    <w:p w:rsidR="00E72624" w:rsidRDefault="00E72624" w:rsidP="00E72624">
      <w:pPr>
        <w:spacing w:line="480" w:lineRule="auto"/>
        <w:ind w:firstLine="567"/>
        <w:jc w:val="both"/>
        <w:rPr>
          <w:sz w:val="28"/>
          <w:szCs w:val="28"/>
        </w:rPr>
      </w:pPr>
      <w:r w:rsidRPr="00040241">
        <w:rPr>
          <w:sz w:val="28"/>
          <w:szCs w:val="28"/>
        </w:rPr>
        <w:t xml:space="preserve"> За звітний період було зареєстровано</w:t>
      </w:r>
      <w:r>
        <w:rPr>
          <w:sz w:val="28"/>
          <w:szCs w:val="28"/>
        </w:rPr>
        <w:t xml:space="preserve"> всього</w:t>
      </w:r>
      <w:r w:rsidRPr="00040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807 </w:t>
      </w:r>
      <w:r w:rsidRPr="00040241">
        <w:rPr>
          <w:sz w:val="28"/>
          <w:szCs w:val="28"/>
        </w:rPr>
        <w:t>електронних звернен</w:t>
      </w:r>
      <w:r>
        <w:rPr>
          <w:sz w:val="28"/>
          <w:szCs w:val="28"/>
        </w:rPr>
        <w:t xml:space="preserve">ь, кількість звернень, з них, що надійшли безпосередньо до Деснянської райдержадміністрації дорівнює  503 електронних звернень. 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Безпосередньо до Деснянської райдержадміністрації надійшло всього 2357 звернень. Громадяни звертались передусім:</w:t>
      </w:r>
    </w:p>
    <w:p w:rsidR="00E72624" w:rsidRDefault="00E72624" w:rsidP="00E72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-із заявами - 2838, </w:t>
      </w:r>
    </w:p>
    <w:p w:rsidR="00E72624" w:rsidRDefault="00E72624" w:rsidP="00E72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-скаргами - 106, </w:t>
      </w:r>
    </w:p>
    <w:p w:rsidR="00E72624" w:rsidRDefault="00E72624" w:rsidP="00E72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-пропозиціями - 8 .</w:t>
      </w:r>
      <w:r w:rsidRPr="00234466">
        <w:rPr>
          <w:sz w:val="28"/>
          <w:szCs w:val="28"/>
        </w:rPr>
        <w:t xml:space="preserve"> 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результаті їх розгляду, було вирішено позитивно - 109 звернень,  дано роз'яснення на  2686 звернень, відмовлено у задоволенні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0</w:t>
      </w:r>
      <w:r>
        <w:rPr>
          <w:sz w:val="28"/>
          <w:szCs w:val="28"/>
        </w:rPr>
        <w:t>.</w:t>
      </w:r>
    </w:p>
    <w:p w:rsidR="00E72624" w:rsidRDefault="00E72624" w:rsidP="00E72624">
      <w:pPr>
        <w:spacing w:line="360" w:lineRule="auto"/>
        <w:ind w:firstLine="708"/>
        <w:jc w:val="right"/>
        <w:rPr>
          <w:sz w:val="28"/>
          <w:szCs w:val="28"/>
        </w:rPr>
      </w:pPr>
    </w:p>
    <w:p w:rsidR="00E72624" w:rsidRDefault="00E72624" w:rsidP="00E72624">
      <w:pPr>
        <w:spacing w:line="360" w:lineRule="auto"/>
        <w:ind w:firstLine="708"/>
        <w:jc w:val="right"/>
        <w:rPr>
          <w:sz w:val="28"/>
          <w:szCs w:val="28"/>
        </w:rPr>
      </w:pPr>
    </w:p>
    <w:p w:rsidR="00E72624" w:rsidRDefault="00E72624" w:rsidP="00E72624">
      <w:pPr>
        <w:spacing w:line="360" w:lineRule="auto"/>
        <w:ind w:firstLine="708"/>
        <w:jc w:val="right"/>
        <w:rPr>
          <w:sz w:val="28"/>
          <w:szCs w:val="28"/>
        </w:rPr>
      </w:pP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 питань, на які скаржаться мешканці </w:t>
      </w:r>
      <w:r w:rsidRPr="006741B0">
        <w:rPr>
          <w:sz w:val="28"/>
          <w:szCs w:val="28"/>
        </w:rPr>
        <w:t>є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відсутність тепла та електроенергії (в зимовий період відключень), незгоди із нарахуванням сплати  за  комунальні послуги, роботи </w:t>
      </w:r>
      <w:proofErr w:type="spellStart"/>
      <w:r>
        <w:rPr>
          <w:sz w:val="28"/>
          <w:szCs w:val="28"/>
        </w:rPr>
        <w:t>бюветів</w:t>
      </w:r>
      <w:proofErr w:type="spellEnd"/>
      <w:r>
        <w:rPr>
          <w:sz w:val="28"/>
          <w:szCs w:val="28"/>
        </w:rPr>
        <w:t xml:space="preserve">, не працюючих ліфтів, роботи та відсутність </w:t>
      </w:r>
      <w:proofErr w:type="spellStart"/>
      <w:r>
        <w:rPr>
          <w:sz w:val="28"/>
          <w:szCs w:val="28"/>
        </w:rPr>
        <w:t>укриттів</w:t>
      </w:r>
      <w:proofErr w:type="spellEnd"/>
      <w:r>
        <w:rPr>
          <w:sz w:val="28"/>
          <w:szCs w:val="28"/>
        </w:rPr>
        <w:t>.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2C5F91">
        <w:rPr>
          <w:sz w:val="28"/>
          <w:szCs w:val="28"/>
        </w:rPr>
        <w:t xml:space="preserve">За звітний період, із загальної кількості звернень, безпосередньо від громадян надійшло </w:t>
      </w:r>
      <w:r>
        <w:rPr>
          <w:sz w:val="28"/>
          <w:szCs w:val="28"/>
        </w:rPr>
        <w:t xml:space="preserve">1391 </w:t>
      </w:r>
      <w:r w:rsidRPr="002C5F91">
        <w:rPr>
          <w:sz w:val="28"/>
          <w:szCs w:val="28"/>
        </w:rPr>
        <w:t>звернен</w:t>
      </w:r>
      <w:r>
        <w:rPr>
          <w:sz w:val="28"/>
          <w:szCs w:val="28"/>
        </w:rPr>
        <w:t>ня</w:t>
      </w:r>
      <w:r w:rsidRPr="002C5F91">
        <w:rPr>
          <w:sz w:val="28"/>
          <w:szCs w:val="28"/>
        </w:rPr>
        <w:t xml:space="preserve">. Для розгляду питань, які належать до компетенції Деснянської </w:t>
      </w:r>
      <w:r>
        <w:rPr>
          <w:sz w:val="28"/>
          <w:szCs w:val="28"/>
        </w:rPr>
        <w:t>райдержадміністрації</w:t>
      </w:r>
      <w:r w:rsidRPr="002C5F91">
        <w:rPr>
          <w:sz w:val="28"/>
          <w:szCs w:val="28"/>
        </w:rPr>
        <w:t xml:space="preserve"> (в розрізі кореспондентів) за звітний період передані звернення: </w:t>
      </w:r>
    </w:p>
    <w:p w:rsidR="00E72624" w:rsidRPr="0064366B" w:rsidRDefault="00E72624" w:rsidP="00E72624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366B">
        <w:rPr>
          <w:sz w:val="28"/>
          <w:szCs w:val="28"/>
        </w:rPr>
        <w:t>від  Київської  міської  державної  адміністрації - 595</w:t>
      </w:r>
    </w:p>
    <w:p w:rsidR="00E72624" w:rsidRPr="0064366B" w:rsidRDefault="00E72624" w:rsidP="00E72624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366B">
        <w:rPr>
          <w:sz w:val="28"/>
          <w:szCs w:val="28"/>
        </w:rPr>
        <w:t xml:space="preserve">органів  прокуратури - 4 </w:t>
      </w:r>
    </w:p>
    <w:p w:rsidR="00E72624" w:rsidRPr="0064366B" w:rsidRDefault="00E72624" w:rsidP="00E72624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366B">
        <w:rPr>
          <w:sz w:val="28"/>
          <w:szCs w:val="28"/>
        </w:rPr>
        <w:t xml:space="preserve">народних депутатів  - 1 </w:t>
      </w:r>
    </w:p>
    <w:p w:rsidR="00E72624" w:rsidRPr="0064366B" w:rsidRDefault="00E72624" w:rsidP="00E72624">
      <w:pPr>
        <w:pStyle w:val="a7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366B">
        <w:rPr>
          <w:sz w:val="28"/>
          <w:szCs w:val="28"/>
        </w:rPr>
        <w:t>через органи державної влади - 952 .</w:t>
      </w:r>
    </w:p>
    <w:p w:rsidR="00E72624" w:rsidRPr="00D50A8F" w:rsidRDefault="00E72624" w:rsidP="00E72624">
      <w:pPr>
        <w:pStyle w:val="2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0A8F">
        <w:rPr>
          <w:rFonts w:ascii="Times New Roman" w:hAnsi="Times New Roman" w:cs="Times New Roman"/>
          <w:b w:val="0"/>
          <w:color w:val="auto"/>
          <w:sz w:val="28"/>
          <w:szCs w:val="28"/>
        </w:rPr>
        <w:t>За період з 01.01.202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D50A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30.06.202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D50A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 Деснянської райдержадміністрації надійшло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261 колективне  звернення</w:t>
      </w:r>
      <w:r w:rsidRPr="00D50A8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64366B">
        <w:rPr>
          <w:sz w:val="28"/>
          <w:szCs w:val="28"/>
        </w:rPr>
        <w:t>Здебільшого</w:t>
      </w:r>
      <w:r w:rsidRPr="00D50A8F">
        <w:rPr>
          <w:sz w:val="28"/>
          <w:szCs w:val="28"/>
        </w:rPr>
        <w:t xml:space="preserve"> у колективних зверненнях </w:t>
      </w:r>
      <w:r>
        <w:rPr>
          <w:sz w:val="28"/>
          <w:szCs w:val="28"/>
        </w:rPr>
        <w:t xml:space="preserve">мешканців, </w:t>
      </w:r>
      <w:r w:rsidRPr="00D50A8F">
        <w:rPr>
          <w:sz w:val="28"/>
          <w:szCs w:val="28"/>
        </w:rPr>
        <w:t>порушувались питання</w:t>
      </w:r>
      <w:r>
        <w:rPr>
          <w:sz w:val="28"/>
          <w:szCs w:val="28"/>
        </w:rPr>
        <w:t xml:space="preserve"> ремонту в будинку (покрівля, вхідна група) утеплення будинку, незадовільний стан </w:t>
      </w:r>
      <w:proofErr w:type="spellStart"/>
      <w:r>
        <w:rPr>
          <w:sz w:val="28"/>
          <w:szCs w:val="28"/>
        </w:rPr>
        <w:t>внутрішньобудинкових</w:t>
      </w:r>
      <w:proofErr w:type="spellEnd"/>
      <w:r>
        <w:rPr>
          <w:sz w:val="28"/>
          <w:szCs w:val="28"/>
        </w:rPr>
        <w:t xml:space="preserve"> мереж, не працюючі ліфти, </w:t>
      </w:r>
      <w:r w:rsidRPr="00CE550E">
        <w:rPr>
          <w:sz w:val="28"/>
          <w:szCs w:val="28"/>
        </w:rPr>
        <w:t xml:space="preserve">каналізації, </w:t>
      </w:r>
      <w:r>
        <w:rPr>
          <w:sz w:val="28"/>
          <w:szCs w:val="28"/>
        </w:rPr>
        <w:t xml:space="preserve">труби водопостачання та опалення, </w:t>
      </w:r>
      <w:r w:rsidRPr="006079A5">
        <w:rPr>
          <w:sz w:val="28"/>
          <w:szCs w:val="28"/>
        </w:rPr>
        <w:t>незадовільн</w:t>
      </w:r>
      <w:r>
        <w:rPr>
          <w:sz w:val="28"/>
          <w:szCs w:val="28"/>
        </w:rPr>
        <w:t>ий санітарно-технічний стан під'</w:t>
      </w:r>
      <w:r w:rsidRPr="006079A5">
        <w:rPr>
          <w:sz w:val="28"/>
          <w:szCs w:val="28"/>
        </w:rPr>
        <w:t>їзду та</w:t>
      </w:r>
      <w:r>
        <w:rPr>
          <w:sz w:val="28"/>
          <w:szCs w:val="28"/>
        </w:rPr>
        <w:t xml:space="preserve"> підвальних приміщень; </w:t>
      </w:r>
      <w:r w:rsidRPr="00CE6E20">
        <w:rPr>
          <w:sz w:val="28"/>
          <w:szCs w:val="28"/>
        </w:rPr>
        <w:t>незаконного нарахування за послуги з надання теплової енергії</w:t>
      </w:r>
      <w:r>
        <w:rPr>
          <w:sz w:val="28"/>
          <w:szCs w:val="28"/>
        </w:rPr>
        <w:t xml:space="preserve">, відсутність </w:t>
      </w:r>
      <w:proofErr w:type="spellStart"/>
      <w:r>
        <w:rPr>
          <w:sz w:val="28"/>
          <w:szCs w:val="28"/>
        </w:rPr>
        <w:t>укриттів</w:t>
      </w:r>
      <w:proofErr w:type="spellEnd"/>
      <w:r>
        <w:rPr>
          <w:sz w:val="28"/>
          <w:szCs w:val="28"/>
        </w:rPr>
        <w:t>, встановлення пандусу, відсутність електропостачання в зимовий період (блек аут), відсутність опалення, гарячої води,</w:t>
      </w:r>
      <w:r>
        <w:t xml:space="preserve"> </w:t>
      </w:r>
      <w:r w:rsidRPr="00B35830">
        <w:rPr>
          <w:sz w:val="28"/>
          <w:szCs w:val="28"/>
        </w:rPr>
        <w:t>встановлення модульн</w:t>
      </w:r>
      <w:r>
        <w:rPr>
          <w:sz w:val="28"/>
          <w:szCs w:val="28"/>
        </w:rPr>
        <w:t xml:space="preserve">их </w:t>
      </w:r>
      <w:proofErr w:type="spellStart"/>
      <w:r>
        <w:rPr>
          <w:sz w:val="28"/>
          <w:szCs w:val="28"/>
        </w:rPr>
        <w:t>котелен</w:t>
      </w:r>
      <w:proofErr w:type="spellEnd"/>
      <w:r>
        <w:rPr>
          <w:sz w:val="28"/>
          <w:szCs w:val="28"/>
        </w:rPr>
        <w:t xml:space="preserve"> тощо.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D50A8F">
        <w:rPr>
          <w:sz w:val="28"/>
          <w:szCs w:val="28"/>
        </w:rPr>
        <w:t xml:space="preserve"> Мешканці району в своїх зверненнях порушили  </w:t>
      </w:r>
      <w:r>
        <w:rPr>
          <w:sz w:val="28"/>
          <w:szCs w:val="28"/>
        </w:rPr>
        <w:t xml:space="preserve">3035 </w:t>
      </w:r>
      <w:r w:rsidRPr="00D50A8F">
        <w:rPr>
          <w:sz w:val="28"/>
          <w:szCs w:val="28"/>
        </w:rPr>
        <w:t xml:space="preserve"> питан</w:t>
      </w:r>
      <w:r>
        <w:rPr>
          <w:sz w:val="28"/>
          <w:szCs w:val="28"/>
        </w:rPr>
        <w:t>ь</w:t>
      </w:r>
      <w:r w:rsidRPr="00D50A8F">
        <w:rPr>
          <w:sz w:val="28"/>
          <w:szCs w:val="28"/>
        </w:rPr>
        <w:t xml:space="preserve">  до Деснянської </w:t>
      </w:r>
      <w:r>
        <w:rPr>
          <w:sz w:val="28"/>
          <w:szCs w:val="28"/>
        </w:rPr>
        <w:t>райдержадміністрації</w:t>
      </w:r>
      <w:r w:rsidRPr="00D50A8F">
        <w:rPr>
          <w:sz w:val="28"/>
          <w:szCs w:val="28"/>
        </w:rPr>
        <w:t>, за аналогічний період 202</w:t>
      </w:r>
      <w:r>
        <w:rPr>
          <w:sz w:val="28"/>
          <w:szCs w:val="28"/>
        </w:rPr>
        <w:t>5</w:t>
      </w:r>
      <w:r w:rsidRPr="00D50A8F">
        <w:rPr>
          <w:sz w:val="28"/>
          <w:szCs w:val="28"/>
        </w:rPr>
        <w:t xml:space="preserve"> року  було порушено </w:t>
      </w:r>
      <w:r>
        <w:rPr>
          <w:sz w:val="28"/>
          <w:szCs w:val="28"/>
        </w:rPr>
        <w:t xml:space="preserve"> 1665 </w:t>
      </w:r>
      <w:r>
        <w:rPr>
          <w:sz w:val="28"/>
          <w:szCs w:val="28"/>
        </w:rPr>
        <w:t>питань.</w:t>
      </w:r>
      <w:r>
        <w:rPr>
          <w:sz w:val="28"/>
          <w:szCs w:val="28"/>
        </w:rPr>
        <w:t xml:space="preserve"> </w:t>
      </w:r>
    </w:p>
    <w:p w:rsidR="00E72624" w:rsidRDefault="00E72624" w:rsidP="00E72624">
      <w:pPr>
        <w:spacing w:line="360" w:lineRule="auto"/>
        <w:ind w:firstLine="708"/>
        <w:jc w:val="right"/>
        <w:rPr>
          <w:sz w:val="28"/>
          <w:szCs w:val="28"/>
        </w:rPr>
      </w:pPr>
    </w:p>
    <w:p w:rsidR="00E72624" w:rsidRDefault="00E72624" w:rsidP="00E72624">
      <w:pPr>
        <w:spacing w:line="360" w:lineRule="auto"/>
        <w:ind w:firstLine="708"/>
        <w:jc w:val="right"/>
        <w:rPr>
          <w:sz w:val="28"/>
          <w:szCs w:val="28"/>
        </w:rPr>
      </w:pPr>
    </w:p>
    <w:p w:rsidR="00E72624" w:rsidRDefault="00E72624" w:rsidP="00E72624">
      <w:pPr>
        <w:spacing w:line="360" w:lineRule="auto"/>
        <w:ind w:firstLine="708"/>
        <w:jc w:val="right"/>
        <w:rPr>
          <w:sz w:val="28"/>
          <w:szCs w:val="28"/>
        </w:rPr>
      </w:pPr>
    </w:p>
    <w:p w:rsidR="00E72624" w:rsidRDefault="00E72624" w:rsidP="00E72624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345"/>
        <w:gridCol w:w="1701"/>
        <w:gridCol w:w="1701"/>
      </w:tblGrid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lastRenderedPageBreak/>
              <w:t xml:space="preserve">Тип </w:t>
            </w:r>
            <w:proofErr w:type="spellStart"/>
            <w:r w:rsidRPr="00385500">
              <w:t>питання</w:t>
            </w:r>
            <w:proofErr w:type="spellEnd"/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 xml:space="preserve">2026 </w:t>
            </w:r>
            <w:proofErr w:type="spellStart"/>
            <w:r w:rsidRPr="00385500">
              <w:t>рік</w:t>
            </w:r>
            <w:proofErr w:type="spellEnd"/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 xml:space="preserve">2025 </w:t>
            </w:r>
            <w:proofErr w:type="spellStart"/>
            <w:r w:rsidRPr="00385500">
              <w:t>рік</w:t>
            </w:r>
            <w:proofErr w:type="spellEnd"/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комунального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господарства</w:t>
            </w:r>
            <w:proofErr w:type="spellEnd"/>
            <w:r w:rsidRPr="00385500">
              <w:t xml:space="preserve"> (</w:t>
            </w:r>
            <w:proofErr w:type="spellStart"/>
            <w:r w:rsidRPr="00385500">
              <w:t>поточний</w:t>
            </w:r>
            <w:proofErr w:type="spellEnd"/>
            <w:r w:rsidRPr="00385500">
              <w:t xml:space="preserve"> ремонт </w:t>
            </w:r>
            <w:proofErr w:type="spellStart"/>
            <w:r w:rsidRPr="00385500">
              <w:t>будинків</w:t>
            </w:r>
            <w:proofErr w:type="spellEnd"/>
            <w:r w:rsidRPr="00385500">
              <w:t xml:space="preserve">, робота </w:t>
            </w:r>
            <w:proofErr w:type="spellStart"/>
            <w:r w:rsidRPr="00385500">
              <w:t>ліфтів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опалення</w:t>
            </w:r>
            <w:proofErr w:type="spellEnd"/>
            <w:r w:rsidRPr="00385500">
              <w:t xml:space="preserve">, оплата квартир та </w:t>
            </w:r>
            <w:proofErr w:type="spellStart"/>
            <w:r w:rsidRPr="00385500">
              <w:t>комунальних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послуг</w:t>
            </w:r>
            <w:proofErr w:type="spellEnd"/>
            <w:r w:rsidRPr="00385500">
              <w:t xml:space="preserve">, робота ЖЕД, </w:t>
            </w:r>
            <w:proofErr w:type="spellStart"/>
            <w:r w:rsidRPr="00385500">
              <w:t>діяльність</w:t>
            </w:r>
            <w:proofErr w:type="spellEnd"/>
            <w:r w:rsidRPr="00385500">
              <w:t xml:space="preserve"> ОСББ та ЖБК, </w:t>
            </w:r>
            <w:proofErr w:type="spellStart"/>
            <w:r w:rsidRPr="00385500">
              <w:t>санітарно-технічний</w:t>
            </w:r>
            <w:proofErr w:type="spellEnd"/>
            <w:r w:rsidRPr="00385500">
              <w:t xml:space="preserve"> стан </w:t>
            </w:r>
            <w:proofErr w:type="spellStart"/>
            <w:r w:rsidRPr="00385500">
              <w:t>будинків</w:t>
            </w:r>
            <w:proofErr w:type="spellEnd"/>
            <w:r w:rsidRPr="00385500">
              <w:t xml:space="preserve"> та </w:t>
            </w:r>
            <w:proofErr w:type="spellStart"/>
            <w:r w:rsidRPr="00385500">
              <w:t>ін</w:t>
            </w:r>
            <w:proofErr w:type="spellEnd"/>
            <w:r w:rsidRPr="00385500">
              <w:t>.)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 xml:space="preserve">1623 </w:t>
            </w:r>
            <w:proofErr w:type="spellStart"/>
            <w:r w:rsidRPr="00385500">
              <w:t>звернень</w:t>
            </w:r>
            <w:proofErr w:type="spellEnd"/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579</w:t>
            </w:r>
          </w:p>
          <w:p w:rsidR="00E72624" w:rsidRPr="00385500" w:rsidRDefault="00E72624" w:rsidP="008F1818">
            <w:pPr>
              <w:spacing w:line="360" w:lineRule="auto"/>
              <w:jc w:val="center"/>
            </w:pPr>
            <w:proofErr w:type="spellStart"/>
            <w:r w:rsidRPr="00385500">
              <w:t>звернень</w:t>
            </w:r>
            <w:proofErr w:type="spellEnd"/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житлової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політики</w:t>
            </w:r>
            <w:proofErr w:type="spellEnd"/>
            <w:r w:rsidRPr="00385500">
              <w:t xml:space="preserve"> (</w:t>
            </w:r>
            <w:proofErr w:type="spellStart"/>
            <w:r w:rsidRPr="00385500">
              <w:t>надання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житла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приватизація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надання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житла</w:t>
            </w:r>
            <w:proofErr w:type="spellEnd"/>
            <w:r w:rsidRPr="00385500">
              <w:t xml:space="preserve"> на </w:t>
            </w:r>
            <w:proofErr w:type="spellStart"/>
            <w:r w:rsidRPr="00385500">
              <w:t>пільгових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умовах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соціального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житла</w:t>
            </w:r>
            <w:proofErr w:type="spellEnd"/>
            <w:r w:rsidRPr="00385500">
              <w:t>)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194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157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Соціального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захисту</w:t>
            </w:r>
            <w:proofErr w:type="spellEnd"/>
            <w:r w:rsidRPr="00385500">
              <w:t xml:space="preserve"> (</w:t>
            </w:r>
            <w:proofErr w:type="spellStart"/>
            <w:r w:rsidRPr="00385500">
              <w:t>матеріальна</w:t>
            </w:r>
            <w:proofErr w:type="spellEnd"/>
            <w:r w:rsidRPr="00385500">
              <w:t xml:space="preserve"> та </w:t>
            </w:r>
            <w:proofErr w:type="spellStart"/>
            <w:r w:rsidRPr="00385500">
              <w:t>гуманітарна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допомога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опіка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призначення</w:t>
            </w:r>
            <w:proofErr w:type="spellEnd"/>
            <w:r w:rsidRPr="00385500">
              <w:t xml:space="preserve"> та </w:t>
            </w:r>
            <w:proofErr w:type="spellStart"/>
            <w:r w:rsidRPr="00385500">
              <w:t>соціальні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виплати</w:t>
            </w:r>
            <w:proofErr w:type="spellEnd"/>
            <w:r w:rsidRPr="00385500">
              <w:t>)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397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350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Забезпечення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дотримання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законності</w:t>
            </w:r>
            <w:proofErr w:type="spellEnd"/>
            <w:r w:rsidRPr="00385500">
              <w:t xml:space="preserve"> та </w:t>
            </w:r>
            <w:proofErr w:type="spellStart"/>
            <w:r w:rsidRPr="00385500">
              <w:t>охорони</w:t>
            </w:r>
            <w:proofErr w:type="spellEnd"/>
            <w:r w:rsidRPr="00385500">
              <w:t xml:space="preserve"> правопорядку (</w:t>
            </w:r>
            <w:proofErr w:type="spellStart"/>
            <w:r w:rsidRPr="00385500">
              <w:t>паспортний</w:t>
            </w:r>
            <w:proofErr w:type="spellEnd"/>
            <w:r w:rsidRPr="00385500">
              <w:t xml:space="preserve"> режим, </w:t>
            </w:r>
            <w:proofErr w:type="spellStart"/>
            <w:r w:rsidRPr="00385500">
              <w:t>взаємовідносини</w:t>
            </w:r>
            <w:proofErr w:type="spellEnd"/>
            <w:r w:rsidRPr="00385500">
              <w:t xml:space="preserve"> з </w:t>
            </w:r>
            <w:proofErr w:type="spellStart"/>
            <w:r w:rsidRPr="00385500">
              <w:t>сусідами</w:t>
            </w:r>
            <w:proofErr w:type="spellEnd"/>
            <w:r w:rsidRPr="00385500">
              <w:t xml:space="preserve"> та </w:t>
            </w:r>
            <w:proofErr w:type="spellStart"/>
            <w:r w:rsidRPr="00385500">
              <w:t>ін</w:t>
            </w:r>
            <w:proofErr w:type="spellEnd"/>
            <w:r w:rsidRPr="00385500">
              <w:t>.)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267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128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сімейної</w:t>
            </w:r>
            <w:proofErr w:type="spellEnd"/>
            <w:r w:rsidRPr="00385500">
              <w:t xml:space="preserve"> та </w:t>
            </w:r>
            <w:proofErr w:type="spellStart"/>
            <w:r w:rsidRPr="00385500">
              <w:t>гендерної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політики</w:t>
            </w:r>
            <w:proofErr w:type="spellEnd"/>
            <w:r w:rsidRPr="00385500">
              <w:t xml:space="preserve"> ( робота </w:t>
            </w:r>
            <w:proofErr w:type="spellStart"/>
            <w:r w:rsidRPr="00385500">
              <w:t>комісій</w:t>
            </w:r>
            <w:proofErr w:type="spellEnd"/>
            <w:r w:rsidRPr="00385500">
              <w:t xml:space="preserve"> в справах </w:t>
            </w:r>
            <w:proofErr w:type="spellStart"/>
            <w:r w:rsidRPr="00385500">
              <w:t>неповнолітніх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захисту</w:t>
            </w:r>
            <w:proofErr w:type="spellEnd"/>
            <w:r w:rsidRPr="00385500">
              <w:t xml:space="preserve"> прав </w:t>
            </w:r>
            <w:proofErr w:type="spellStart"/>
            <w:r w:rsidRPr="00385500">
              <w:t>дітей</w:t>
            </w:r>
            <w:proofErr w:type="spellEnd"/>
            <w:r w:rsidRPr="00385500">
              <w:t>)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30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38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транспорту та </w:t>
            </w:r>
            <w:proofErr w:type="spellStart"/>
            <w:r w:rsidRPr="00385500">
              <w:t>зв</w:t>
            </w:r>
            <w:r w:rsidRPr="00385500">
              <w:rPr>
                <w:rFonts w:ascii="Calibri" w:hAnsi="Calibri"/>
              </w:rPr>
              <w:t>'</w:t>
            </w:r>
            <w:r w:rsidRPr="00385500">
              <w:t>язку</w:t>
            </w:r>
            <w:proofErr w:type="spellEnd"/>
          </w:p>
          <w:p w:rsidR="00E72624" w:rsidRPr="00385500" w:rsidRDefault="00E72624" w:rsidP="008F1818">
            <w:pPr>
              <w:jc w:val="center"/>
            </w:pPr>
            <w:r w:rsidRPr="00385500">
              <w:t xml:space="preserve">( </w:t>
            </w:r>
            <w:proofErr w:type="spellStart"/>
            <w:r w:rsidRPr="00385500">
              <w:t>паркування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встановлення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знаків</w:t>
            </w:r>
            <w:proofErr w:type="spellEnd"/>
            <w:r w:rsidRPr="00385500">
              <w:t>)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27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14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праці</w:t>
            </w:r>
            <w:proofErr w:type="spellEnd"/>
            <w:r w:rsidRPr="00385500">
              <w:t xml:space="preserve"> та </w:t>
            </w:r>
            <w:proofErr w:type="spellStart"/>
            <w:r w:rsidRPr="00385500">
              <w:t>заробітної</w:t>
            </w:r>
            <w:proofErr w:type="spellEnd"/>
            <w:r w:rsidRPr="00385500">
              <w:t xml:space="preserve"> плати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7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13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охорони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здоров'я</w:t>
            </w:r>
            <w:proofErr w:type="spellEnd"/>
          </w:p>
          <w:p w:rsidR="00E72624" w:rsidRPr="00385500" w:rsidRDefault="00E72624" w:rsidP="008F1818"/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66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75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освіти</w:t>
            </w:r>
            <w:proofErr w:type="spellEnd"/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32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37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екології</w:t>
            </w:r>
            <w:proofErr w:type="spellEnd"/>
            <w:r w:rsidRPr="00385500">
              <w:t xml:space="preserve"> та </w:t>
            </w:r>
            <w:proofErr w:type="spellStart"/>
            <w:r w:rsidRPr="00385500">
              <w:t>природних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ресурсів</w:t>
            </w:r>
            <w:proofErr w:type="spellEnd"/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12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4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земельних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відносин</w:t>
            </w:r>
            <w:proofErr w:type="spellEnd"/>
            <w:r w:rsidRPr="00385500">
              <w:t>;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30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9</w:t>
            </w:r>
          </w:p>
        </w:tc>
      </w:tr>
      <w:tr w:rsidR="00E72624" w:rsidRPr="00385500" w:rsidTr="008F1818">
        <w:tc>
          <w:tcPr>
            <w:tcW w:w="6345" w:type="dxa"/>
          </w:tcPr>
          <w:p w:rsidR="00E72624" w:rsidRPr="00385500" w:rsidRDefault="00E72624" w:rsidP="008F1818">
            <w:pPr>
              <w:jc w:val="center"/>
            </w:pPr>
            <w:proofErr w:type="spellStart"/>
            <w:r w:rsidRPr="00385500">
              <w:t>Питання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обороноздатності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суверенітету</w:t>
            </w:r>
            <w:proofErr w:type="spellEnd"/>
            <w:r w:rsidRPr="00385500">
              <w:t xml:space="preserve">, </w:t>
            </w:r>
            <w:proofErr w:type="spellStart"/>
            <w:r w:rsidRPr="00385500">
              <w:t>міждержавні</w:t>
            </w:r>
            <w:proofErr w:type="spellEnd"/>
            <w:r w:rsidRPr="00385500">
              <w:t xml:space="preserve"> і </w:t>
            </w:r>
            <w:proofErr w:type="spellStart"/>
            <w:r w:rsidRPr="00385500">
              <w:t>міжнаціональні</w:t>
            </w:r>
            <w:proofErr w:type="spellEnd"/>
            <w:r w:rsidRPr="00385500">
              <w:t xml:space="preserve"> </w:t>
            </w:r>
            <w:proofErr w:type="spellStart"/>
            <w:r w:rsidRPr="00385500">
              <w:t>відносини</w:t>
            </w:r>
            <w:proofErr w:type="spellEnd"/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27</w:t>
            </w:r>
          </w:p>
        </w:tc>
        <w:tc>
          <w:tcPr>
            <w:tcW w:w="1701" w:type="dxa"/>
          </w:tcPr>
          <w:p w:rsidR="00E72624" w:rsidRPr="00385500" w:rsidRDefault="00E72624" w:rsidP="008F1818">
            <w:pPr>
              <w:spacing w:line="360" w:lineRule="auto"/>
              <w:jc w:val="center"/>
            </w:pPr>
            <w:r w:rsidRPr="00385500">
              <w:t>25</w:t>
            </w:r>
          </w:p>
        </w:tc>
      </w:tr>
    </w:tbl>
    <w:p w:rsidR="00E72624" w:rsidRPr="00185663" w:rsidRDefault="00E72624" w:rsidP="00E72624">
      <w:pPr>
        <w:spacing w:line="360" w:lineRule="auto"/>
        <w:jc w:val="both"/>
        <w:rPr>
          <w:sz w:val="28"/>
          <w:szCs w:val="28"/>
        </w:rPr>
      </w:pPr>
      <w:r w:rsidRPr="00185663">
        <w:rPr>
          <w:sz w:val="28"/>
          <w:szCs w:val="28"/>
        </w:rPr>
        <w:t xml:space="preserve"> </w:t>
      </w:r>
    </w:p>
    <w:p w:rsidR="00E72624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Сталим залишається найбільшим  показник звернень з питань житлово-комунального господарства.</w:t>
      </w:r>
    </w:p>
    <w:p w:rsidR="00E72624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 w:rsidRPr="00D058FD">
        <w:rPr>
          <w:sz w:val="28"/>
          <w:szCs w:val="28"/>
        </w:rPr>
        <w:t xml:space="preserve">Мешканці району у своїх зверненнях порушували питання </w:t>
      </w:r>
      <w:r>
        <w:rPr>
          <w:sz w:val="28"/>
          <w:szCs w:val="28"/>
        </w:rPr>
        <w:t>поточних ремонтів, ремонту дахів,</w:t>
      </w:r>
      <w:r w:rsidRPr="00A73516">
        <w:rPr>
          <w:sz w:val="28"/>
          <w:szCs w:val="28"/>
        </w:rPr>
        <w:t xml:space="preserve"> </w:t>
      </w:r>
      <w:r w:rsidRPr="00D058FD">
        <w:rPr>
          <w:sz w:val="28"/>
          <w:szCs w:val="28"/>
        </w:rPr>
        <w:t>діяльності ОСББ та ЖБК,</w:t>
      </w:r>
      <w:r>
        <w:rPr>
          <w:sz w:val="28"/>
          <w:szCs w:val="28"/>
        </w:rPr>
        <w:t xml:space="preserve"> незадовільної роботи ліфтів, благоустрій прибудинкової території, вивозу сміття, роботи ЖЕД, опалення, водопостачання, ремонт та заміна електроприладів, утримання будинків, вивіз сміття тощо.</w:t>
      </w:r>
    </w:p>
    <w:p w:rsidR="00E72624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 w:rsidRPr="00846640">
        <w:rPr>
          <w:sz w:val="28"/>
          <w:szCs w:val="28"/>
        </w:rPr>
        <w:t>Актуальними залишаються питання соціального захисту.</w:t>
      </w:r>
      <w:r>
        <w:rPr>
          <w:sz w:val="28"/>
          <w:szCs w:val="28"/>
        </w:rPr>
        <w:t xml:space="preserve"> В своїх зверненнях мешканці порушували питання опіки, виплати різних видів соціальних допомог, призначення виплат, а також питання надання акту по догляду для відстрочки від військової служби.</w:t>
      </w:r>
    </w:p>
    <w:p w:rsidR="00E72624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Велика кількість звернень стосується питань забезпечення дотримання законності та охорони правопорядку (паспортний режим, взаємовідносини з </w:t>
      </w:r>
      <w:r>
        <w:rPr>
          <w:sz w:val="28"/>
          <w:szCs w:val="28"/>
        </w:rPr>
        <w:lastRenderedPageBreak/>
        <w:t>сусідами та ін.) а також надання житла, приватизації, отримання ордеру на житло.</w:t>
      </w:r>
    </w:p>
    <w:p w:rsidR="00E72624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Мешканці також звертались з питаннями життєдіяльності, оренди, надання дозволу на встановлення гаражів, паспортного режиму, захисту прав дітей та неповнолітніх, </w:t>
      </w:r>
      <w:proofErr w:type="spellStart"/>
      <w:r>
        <w:rPr>
          <w:sz w:val="28"/>
          <w:szCs w:val="28"/>
        </w:rPr>
        <w:t>увіковічнення</w:t>
      </w:r>
      <w:proofErr w:type="spellEnd"/>
      <w:r>
        <w:rPr>
          <w:sz w:val="28"/>
          <w:szCs w:val="28"/>
        </w:rPr>
        <w:t xml:space="preserve"> пам'яті видатних людей та подій, присвоєння поштової адреси, облаштування бомбосховищ та інше.</w:t>
      </w:r>
    </w:p>
    <w:p w:rsidR="00E72624" w:rsidRPr="0053202E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 w:rsidRPr="00E2300B">
        <w:rPr>
          <w:sz w:val="28"/>
          <w:szCs w:val="28"/>
        </w:rPr>
        <w:t xml:space="preserve">На виконання до Деснянської райдержадміністрації надійшло </w:t>
      </w:r>
      <w:r>
        <w:rPr>
          <w:sz w:val="28"/>
          <w:szCs w:val="28"/>
        </w:rPr>
        <w:t>78 доручень від</w:t>
      </w:r>
      <w:r w:rsidRPr="00E2300B">
        <w:rPr>
          <w:sz w:val="28"/>
          <w:szCs w:val="28"/>
        </w:rPr>
        <w:t xml:space="preserve"> Київського міського голови. </w:t>
      </w:r>
    </w:p>
    <w:p w:rsidR="00E72624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 w:rsidRPr="00741E5E">
        <w:rPr>
          <w:sz w:val="28"/>
          <w:szCs w:val="28"/>
        </w:rPr>
        <w:t>За період з  01.01.202</w:t>
      </w:r>
      <w:r>
        <w:rPr>
          <w:sz w:val="28"/>
          <w:szCs w:val="28"/>
        </w:rPr>
        <w:t>6</w:t>
      </w:r>
      <w:r w:rsidRPr="00741E5E">
        <w:rPr>
          <w:sz w:val="28"/>
          <w:szCs w:val="28"/>
        </w:rPr>
        <w:t xml:space="preserve"> по 30.06.202</w:t>
      </w:r>
      <w:r>
        <w:rPr>
          <w:sz w:val="28"/>
          <w:szCs w:val="28"/>
        </w:rPr>
        <w:t>6</w:t>
      </w:r>
      <w:r w:rsidRPr="00741E5E">
        <w:rPr>
          <w:sz w:val="28"/>
          <w:szCs w:val="28"/>
        </w:rPr>
        <w:t xml:space="preserve">  до Деснянської райдержадміністрації надійшло </w:t>
      </w:r>
      <w:r>
        <w:rPr>
          <w:sz w:val="28"/>
          <w:szCs w:val="28"/>
        </w:rPr>
        <w:t>124</w:t>
      </w:r>
      <w:r w:rsidRPr="00741E5E">
        <w:rPr>
          <w:sz w:val="28"/>
          <w:szCs w:val="28"/>
        </w:rPr>
        <w:t xml:space="preserve"> </w:t>
      </w:r>
      <w:r>
        <w:rPr>
          <w:sz w:val="28"/>
          <w:szCs w:val="28"/>
        </w:rPr>
        <w:t>заяви</w:t>
      </w:r>
      <w:r w:rsidRPr="00741E5E">
        <w:rPr>
          <w:sz w:val="28"/>
          <w:szCs w:val="28"/>
        </w:rPr>
        <w:t xml:space="preserve"> ві</w:t>
      </w:r>
      <w:r>
        <w:rPr>
          <w:sz w:val="28"/>
          <w:szCs w:val="28"/>
        </w:rPr>
        <w:t xml:space="preserve">д громадян пільгових категорій </w:t>
      </w:r>
      <w:r w:rsidRPr="00741E5E">
        <w:rPr>
          <w:sz w:val="28"/>
          <w:szCs w:val="28"/>
        </w:rPr>
        <w:t xml:space="preserve">:  </w:t>
      </w:r>
      <w:r>
        <w:rPr>
          <w:sz w:val="28"/>
          <w:szCs w:val="28"/>
        </w:rPr>
        <w:t>20 – від учасників бойових дій</w:t>
      </w:r>
      <w:r w:rsidRPr="00741E5E">
        <w:rPr>
          <w:sz w:val="28"/>
          <w:szCs w:val="28"/>
        </w:rPr>
        <w:t xml:space="preserve"> </w:t>
      </w:r>
    </w:p>
    <w:p w:rsidR="00E72624" w:rsidRDefault="00E72624" w:rsidP="00E72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741E5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від інвалідів І, ІІ, ІІІ групи</w:t>
      </w:r>
      <w:r w:rsidRPr="00741E5E">
        <w:rPr>
          <w:sz w:val="28"/>
          <w:szCs w:val="28"/>
        </w:rPr>
        <w:t xml:space="preserve"> </w:t>
      </w:r>
    </w:p>
    <w:p w:rsidR="00E72624" w:rsidRDefault="00E72624" w:rsidP="00E72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 – від ветеранів праці</w:t>
      </w:r>
    </w:p>
    <w:p w:rsidR="00E72624" w:rsidRDefault="00E72624" w:rsidP="00E72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741E5E">
        <w:rPr>
          <w:sz w:val="28"/>
          <w:szCs w:val="28"/>
        </w:rPr>
        <w:t xml:space="preserve"> - від учасників ліквідації наслідків аварії на ЧАЕС та осіб, які потерпіл</w:t>
      </w:r>
      <w:r>
        <w:rPr>
          <w:sz w:val="28"/>
          <w:szCs w:val="28"/>
        </w:rPr>
        <w:t>и від Чорнобильської катастрофи</w:t>
      </w:r>
      <w:r w:rsidRPr="00741E5E">
        <w:rPr>
          <w:sz w:val="28"/>
          <w:szCs w:val="28"/>
        </w:rPr>
        <w:t xml:space="preserve"> </w:t>
      </w:r>
    </w:p>
    <w:p w:rsidR="00E72624" w:rsidRDefault="00E72624" w:rsidP="00E72624">
      <w:pPr>
        <w:spacing w:line="360" w:lineRule="auto"/>
        <w:jc w:val="both"/>
        <w:rPr>
          <w:sz w:val="28"/>
          <w:szCs w:val="28"/>
        </w:rPr>
      </w:pPr>
      <w:r w:rsidRPr="00741E5E">
        <w:rPr>
          <w:sz w:val="28"/>
          <w:szCs w:val="28"/>
        </w:rPr>
        <w:t xml:space="preserve">0 - </w:t>
      </w:r>
      <w:r>
        <w:rPr>
          <w:sz w:val="28"/>
          <w:szCs w:val="28"/>
        </w:rPr>
        <w:t xml:space="preserve">від дітей війни, </w:t>
      </w:r>
    </w:p>
    <w:p w:rsidR="00E72624" w:rsidRDefault="00E72624" w:rsidP="00E72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Pr="00741E5E">
        <w:rPr>
          <w:sz w:val="28"/>
          <w:szCs w:val="28"/>
        </w:rPr>
        <w:t>- від членів багатодітних сімей, один</w:t>
      </w:r>
      <w:r>
        <w:rPr>
          <w:sz w:val="28"/>
          <w:szCs w:val="28"/>
        </w:rPr>
        <w:t>оких матерів, матерів – героїнь та інших категорій.</w:t>
      </w:r>
      <w:r w:rsidRPr="006E64F0">
        <w:rPr>
          <w:sz w:val="28"/>
          <w:szCs w:val="28"/>
        </w:rPr>
        <w:t xml:space="preserve"> </w:t>
      </w:r>
    </w:p>
    <w:p w:rsidR="00E72624" w:rsidRPr="00534CE6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 w:rsidRPr="00741E5E">
        <w:rPr>
          <w:sz w:val="28"/>
          <w:szCs w:val="28"/>
        </w:rPr>
        <w:t>За звітний період</w:t>
      </w:r>
      <w:r>
        <w:rPr>
          <w:sz w:val="28"/>
          <w:szCs w:val="28"/>
        </w:rPr>
        <w:t>,</w:t>
      </w:r>
      <w:r w:rsidRPr="00741E5E">
        <w:rPr>
          <w:sz w:val="28"/>
          <w:szCs w:val="28"/>
        </w:rPr>
        <w:t xml:space="preserve"> керівництвом  Деснянської райдержадміністрації проведено</w:t>
      </w:r>
      <w:r w:rsidRPr="00534CE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29 </w:t>
      </w:r>
      <w:r w:rsidRPr="00534CE6">
        <w:rPr>
          <w:sz w:val="28"/>
          <w:szCs w:val="28"/>
        </w:rPr>
        <w:t xml:space="preserve">особистих прийомів  громадян, під час яких прийнято  </w:t>
      </w:r>
      <w:r>
        <w:rPr>
          <w:sz w:val="28"/>
          <w:szCs w:val="28"/>
        </w:rPr>
        <w:t>89 осіб</w:t>
      </w:r>
      <w:r w:rsidRPr="00534CE6">
        <w:rPr>
          <w:sz w:val="28"/>
          <w:szCs w:val="28"/>
        </w:rPr>
        <w:t xml:space="preserve">  та </w:t>
      </w:r>
      <w:r>
        <w:rPr>
          <w:sz w:val="28"/>
          <w:szCs w:val="28"/>
        </w:rPr>
        <w:t xml:space="preserve">14 </w:t>
      </w:r>
      <w:r w:rsidRPr="00534CE6">
        <w:rPr>
          <w:sz w:val="28"/>
          <w:szCs w:val="28"/>
        </w:rPr>
        <w:t xml:space="preserve"> прямих («гарячих») телефонних ліній, під час яких звернулись  </w:t>
      </w:r>
      <w:r>
        <w:rPr>
          <w:sz w:val="28"/>
          <w:szCs w:val="28"/>
        </w:rPr>
        <w:t xml:space="preserve">18 </w:t>
      </w:r>
      <w:r w:rsidRPr="00534CE6">
        <w:rPr>
          <w:sz w:val="28"/>
          <w:szCs w:val="28"/>
        </w:rPr>
        <w:t xml:space="preserve">громадян. </w:t>
      </w:r>
    </w:p>
    <w:p w:rsidR="00E72624" w:rsidRDefault="00E72624" w:rsidP="00E72624">
      <w:pPr>
        <w:spacing w:line="360" w:lineRule="auto"/>
        <w:ind w:firstLine="567"/>
        <w:jc w:val="both"/>
        <w:rPr>
          <w:sz w:val="28"/>
          <w:szCs w:val="28"/>
        </w:rPr>
      </w:pPr>
      <w:r w:rsidRPr="00534CE6">
        <w:rPr>
          <w:sz w:val="28"/>
          <w:szCs w:val="28"/>
        </w:rPr>
        <w:t xml:space="preserve">Особисто головою Деснянської райдержадміністрації </w:t>
      </w:r>
      <w:r>
        <w:rPr>
          <w:sz w:val="28"/>
          <w:szCs w:val="28"/>
        </w:rPr>
        <w:t xml:space="preserve">М. Бахматовим </w:t>
      </w:r>
      <w:r w:rsidRPr="00534CE6">
        <w:rPr>
          <w:sz w:val="28"/>
          <w:szCs w:val="28"/>
        </w:rPr>
        <w:t xml:space="preserve">проведено  </w:t>
      </w:r>
      <w:r>
        <w:rPr>
          <w:sz w:val="28"/>
          <w:szCs w:val="28"/>
        </w:rPr>
        <w:t>17 особистих прийомів</w:t>
      </w:r>
      <w:r w:rsidRPr="00534CE6">
        <w:rPr>
          <w:sz w:val="28"/>
          <w:szCs w:val="28"/>
        </w:rPr>
        <w:t xml:space="preserve">, прийнято </w:t>
      </w:r>
      <w:r>
        <w:rPr>
          <w:sz w:val="28"/>
          <w:szCs w:val="28"/>
        </w:rPr>
        <w:t>76</w:t>
      </w:r>
      <w:r w:rsidRPr="00534CE6">
        <w:rPr>
          <w:sz w:val="28"/>
          <w:szCs w:val="28"/>
        </w:rPr>
        <w:t xml:space="preserve"> осіб, проведено </w:t>
      </w:r>
      <w:r>
        <w:rPr>
          <w:sz w:val="28"/>
          <w:szCs w:val="28"/>
        </w:rPr>
        <w:t>10</w:t>
      </w:r>
      <w:r w:rsidRPr="00534CE6">
        <w:rPr>
          <w:sz w:val="28"/>
          <w:szCs w:val="28"/>
        </w:rPr>
        <w:t xml:space="preserve"> прямих («гарячих») телефон</w:t>
      </w:r>
      <w:r>
        <w:rPr>
          <w:sz w:val="28"/>
          <w:szCs w:val="28"/>
        </w:rPr>
        <w:t>них ліній, під час яких звернуло</w:t>
      </w:r>
      <w:r w:rsidRPr="00534CE6">
        <w:rPr>
          <w:sz w:val="28"/>
          <w:szCs w:val="28"/>
        </w:rPr>
        <w:t xml:space="preserve">сь </w:t>
      </w:r>
      <w:r>
        <w:rPr>
          <w:sz w:val="28"/>
          <w:szCs w:val="28"/>
        </w:rPr>
        <w:t xml:space="preserve">14 </w:t>
      </w:r>
      <w:r w:rsidRPr="00534CE6">
        <w:rPr>
          <w:sz w:val="28"/>
          <w:szCs w:val="28"/>
        </w:rPr>
        <w:t>громадян</w:t>
      </w:r>
      <w:r>
        <w:rPr>
          <w:sz w:val="28"/>
          <w:szCs w:val="28"/>
        </w:rPr>
        <w:t>, проведено один особистий виїзний прийом.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741E5E">
        <w:rPr>
          <w:sz w:val="28"/>
          <w:szCs w:val="28"/>
        </w:rPr>
        <w:t>Згідно з затвердженим  Графіком звітування  щодо організації роботи із зверненнями громадян структурними підрозділами Деснянської райдержадміністрації та комунальними підприємствами, установами, організаціями, віднесеними до сфери управління адміністрації у 202</w:t>
      </w:r>
      <w:r>
        <w:rPr>
          <w:sz w:val="28"/>
          <w:szCs w:val="28"/>
        </w:rPr>
        <w:t>6</w:t>
      </w:r>
      <w:r w:rsidRPr="00741E5E">
        <w:rPr>
          <w:sz w:val="28"/>
          <w:szCs w:val="28"/>
        </w:rPr>
        <w:t xml:space="preserve"> році, </w:t>
      </w:r>
      <w:r w:rsidRPr="00741E5E">
        <w:rPr>
          <w:sz w:val="28"/>
          <w:szCs w:val="28"/>
        </w:rPr>
        <w:lastRenderedPageBreak/>
        <w:t>відповідно до Указу Президента України від 07.02.2008 № 109/2008 „Про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 перед головою Деснянської райдержадміністрації прозвітували:</w:t>
      </w:r>
      <w:r w:rsidRPr="002C6AA6">
        <w:rPr>
          <w:sz w:val="28"/>
          <w:szCs w:val="28"/>
        </w:rPr>
        <w:t xml:space="preserve"> 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5C6B">
        <w:rPr>
          <w:sz w:val="28"/>
          <w:szCs w:val="28"/>
        </w:rPr>
        <w:t>Управління (Центр) надання адміністративних послуг Деснянської районної в місті Києві державної адміністрації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5C6B">
        <w:rPr>
          <w:sz w:val="28"/>
          <w:szCs w:val="28"/>
        </w:rPr>
        <w:t>Управління житлово-комунального господарства Деснянської районної в місті Києві державної адміністрації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5C6B">
        <w:rPr>
          <w:sz w:val="28"/>
          <w:szCs w:val="28"/>
        </w:rPr>
        <w:t>Управління соціальної та ветеранської політики Деснянської районної в місті Києві державної адміністрації</w:t>
      </w:r>
    </w:p>
    <w:p w:rsidR="00E72624" w:rsidRPr="00B35C6B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5C6B">
        <w:rPr>
          <w:sz w:val="28"/>
          <w:szCs w:val="28"/>
        </w:rPr>
        <w:t>Служба у справах дітей та сім'ї Деснянської районної в місті Києві державної адміністрації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5C6B">
        <w:rPr>
          <w:sz w:val="28"/>
          <w:szCs w:val="28"/>
        </w:rPr>
        <w:t>Управління у справах молоді та спорту Деснянської районної в місті Києві державної адміністрації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-Управління будівництва </w:t>
      </w:r>
      <w:r w:rsidRPr="00B35C6B">
        <w:rPr>
          <w:sz w:val="28"/>
          <w:szCs w:val="28"/>
        </w:rPr>
        <w:t>Деснянської районної в місті Києві державної адміністрації</w:t>
      </w:r>
      <w:r>
        <w:rPr>
          <w:sz w:val="28"/>
          <w:szCs w:val="28"/>
        </w:rPr>
        <w:t>.</w:t>
      </w:r>
    </w:p>
    <w:p w:rsidR="00E72624" w:rsidRPr="00B35C6B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B35C6B">
        <w:rPr>
          <w:sz w:val="28"/>
          <w:szCs w:val="28"/>
        </w:rPr>
        <w:t>Також, відповідно до затвердженого графіка Перевірок щодо організації роботи із зверненнями громадян структурними підрозділами Деснянської РДА, за період з 01.01.202</w:t>
      </w:r>
      <w:r>
        <w:rPr>
          <w:sz w:val="28"/>
          <w:szCs w:val="28"/>
        </w:rPr>
        <w:t>6</w:t>
      </w:r>
      <w:r w:rsidRPr="00B35C6B">
        <w:rPr>
          <w:sz w:val="28"/>
          <w:szCs w:val="28"/>
        </w:rPr>
        <w:t xml:space="preserve"> по 30.06.202</w:t>
      </w:r>
      <w:r>
        <w:rPr>
          <w:sz w:val="28"/>
          <w:szCs w:val="28"/>
        </w:rPr>
        <w:t>6</w:t>
      </w:r>
      <w:r w:rsidRPr="00B35C6B">
        <w:rPr>
          <w:sz w:val="28"/>
          <w:szCs w:val="28"/>
        </w:rPr>
        <w:t xml:space="preserve"> року, працівниками відділу роботи із  зверненнями громадян були проведені перевірки в наступних підрозділах:</w:t>
      </w:r>
    </w:p>
    <w:p w:rsidR="00E72624" w:rsidRPr="00B35C6B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35C6B">
        <w:rPr>
          <w:sz w:val="28"/>
          <w:szCs w:val="28"/>
        </w:rPr>
        <w:t>Управління (Центр) надання адміністративних послуг Деснянської районної в місті Києві державної адміністрації</w:t>
      </w:r>
    </w:p>
    <w:p w:rsidR="00E72624" w:rsidRPr="00B35C6B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B35C6B">
        <w:rPr>
          <w:sz w:val="28"/>
          <w:szCs w:val="28"/>
        </w:rPr>
        <w:t>- Управління у справах молоді та спорту Деснянської районної в місті Києві державної адміністрації</w:t>
      </w:r>
    </w:p>
    <w:p w:rsidR="00E72624" w:rsidRPr="00B35C6B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B35C6B">
        <w:rPr>
          <w:sz w:val="28"/>
          <w:szCs w:val="28"/>
        </w:rPr>
        <w:t>- Управління житлово-комунального господарства Деснянської районної в місті Києві державної адміністрації</w:t>
      </w:r>
    </w:p>
    <w:p w:rsidR="00E72624" w:rsidRPr="00B35C6B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B35C6B">
        <w:rPr>
          <w:sz w:val="28"/>
          <w:szCs w:val="28"/>
        </w:rPr>
        <w:t>- Управління благоустрою та підприємництва Деснянської районної в місті Києві державної адміністрації</w:t>
      </w:r>
    </w:p>
    <w:p w:rsidR="00E72624" w:rsidRPr="00B35C6B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B35C6B">
        <w:rPr>
          <w:sz w:val="28"/>
          <w:szCs w:val="28"/>
        </w:rPr>
        <w:lastRenderedPageBreak/>
        <w:t>- Служба у справах дітей та сім'ї Деснянської районної в місті Києві державної адміністрації</w:t>
      </w:r>
    </w:p>
    <w:p w:rsidR="00E72624" w:rsidRDefault="00E72624" w:rsidP="00E72624">
      <w:pPr>
        <w:spacing w:line="360" w:lineRule="auto"/>
        <w:ind w:firstLine="708"/>
        <w:jc w:val="both"/>
        <w:rPr>
          <w:sz w:val="28"/>
          <w:szCs w:val="28"/>
        </w:rPr>
      </w:pPr>
      <w:r w:rsidRPr="00B35C6B">
        <w:rPr>
          <w:sz w:val="28"/>
          <w:szCs w:val="28"/>
        </w:rPr>
        <w:t>- Управління соціальної та ветеранської політики Деснянської районної в місті Києві державної адміністрації.</w:t>
      </w:r>
    </w:p>
    <w:p w:rsidR="00E72624" w:rsidRDefault="00E72624" w:rsidP="00E72624">
      <w:pPr>
        <w:tabs>
          <w:tab w:val="left" w:pos="7088"/>
        </w:tabs>
        <w:spacing w:line="276" w:lineRule="auto"/>
        <w:rPr>
          <w:sz w:val="28"/>
          <w:szCs w:val="28"/>
        </w:rPr>
      </w:pPr>
      <w:bookmarkStart w:id="0" w:name="_GoBack"/>
      <w:bookmarkEnd w:id="0"/>
    </w:p>
    <w:p w:rsidR="0041258D" w:rsidRDefault="0041258D"/>
    <w:sectPr w:rsidR="0041258D" w:rsidSect="00A83AF4">
      <w:foot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74960"/>
      <w:docPartObj>
        <w:docPartGallery w:val="Page Numbers (Bottom of Page)"/>
        <w:docPartUnique/>
      </w:docPartObj>
    </w:sdtPr>
    <w:sdtEndPr/>
    <w:sdtContent>
      <w:p w:rsidR="006F1FC8" w:rsidRDefault="00D34F1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1FC8" w:rsidRDefault="00D34F15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F1373"/>
    <w:multiLevelType w:val="hybridMultilevel"/>
    <w:tmpl w:val="D3B0B348"/>
    <w:lvl w:ilvl="0" w:tplc="89CCE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7F"/>
    <w:rsid w:val="003C6A7F"/>
    <w:rsid w:val="0041258D"/>
    <w:rsid w:val="00D34F15"/>
    <w:rsid w:val="00E7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7356"/>
  <w15:chartTrackingRefBased/>
  <w15:docId w15:val="{4F5F6749-70FD-40C5-9903-FB4A7E7A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2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262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6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624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26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72624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72624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E7262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26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72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vrzg_desnrda@kyivcity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5117</Words>
  <Characters>2918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Василівна Тимофєєва</dc:creator>
  <cp:keywords/>
  <dc:description/>
  <cp:lastModifiedBy>Марія Василівна Тимофєєва</cp:lastModifiedBy>
  <cp:revision>2</cp:revision>
  <dcterms:created xsi:type="dcterms:W3CDTF">2026-07-13T08:53:00Z</dcterms:created>
  <dcterms:modified xsi:type="dcterms:W3CDTF">2026-07-13T10:07:00Z</dcterms:modified>
</cp:coreProperties>
</file>