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C2" w:rsidRDefault="009E34C2" w:rsidP="009E34C2">
      <w:pPr>
        <w:jc w:val="center"/>
        <w:rPr>
          <w:rFonts w:eastAsia="Times New Roman"/>
          <w:b/>
          <w:sz w:val="28"/>
          <w:szCs w:val="28"/>
        </w:rPr>
      </w:pPr>
    </w:p>
    <w:p w:rsidR="009E34C2" w:rsidRPr="003C4201" w:rsidRDefault="009E34C2" w:rsidP="009E34C2">
      <w:pPr>
        <w:jc w:val="center"/>
        <w:rPr>
          <w:rFonts w:eastAsia="Times New Roman"/>
          <w:b/>
          <w:sz w:val="28"/>
          <w:szCs w:val="28"/>
        </w:rPr>
      </w:pPr>
      <w:r w:rsidRPr="003C4201">
        <w:rPr>
          <w:rFonts w:eastAsia="Times New Roman"/>
          <w:b/>
          <w:sz w:val="28"/>
          <w:szCs w:val="28"/>
        </w:rPr>
        <w:t>АНАЛІТИЧНА ЗАПИСКА</w:t>
      </w:r>
    </w:p>
    <w:p w:rsidR="009E34C2" w:rsidRPr="003C4201" w:rsidRDefault="009E34C2" w:rsidP="009E34C2">
      <w:pPr>
        <w:jc w:val="center"/>
        <w:rPr>
          <w:rFonts w:eastAsia="Times New Roman"/>
          <w:b/>
          <w:sz w:val="28"/>
          <w:szCs w:val="28"/>
        </w:rPr>
      </w:pPr>
      <w:r w:rsidRPr="003C4201">
        <w:rPr>
          <w:rFonts w:eastAsia="Times New Roman"/>
          <w:b/>
          <w:sz w:val="28"/>
          <w:szCs w:val="28"/>
        </w:rPr>
        <w:t>про підсумки роботи із розгляду звернень громадян</w:t>
      </w:r>
    </w:p>
    <w:p w:rsidR="009E34C2" w:rsidRPr="003C4201" w:rsidRDefault="009E34C2" w:rsidP="009E34C2">
      <w:pPr>
        <w:jc w:val="center"/>
        <w:rPr>
          <w:rFonts w:eastAsia="Times New Roman"/>
          <w:b/>
          <w:sz w:val="28"/>
          <w:szCs w:val="28"/>
        </w:rPr>
      </w:pPr>
      <w:r w:rsidRPr="003C4201">
        <w:rPr>
          <w:rFonts w:eastAsia="Times New Roman"/>
          <w:b/>
          <w:sz w:val="28"/>
          <w:szCs w:val="28"/>
        </w:rPr>
        <w:t>в Деснянській районній в місті Києві державній адміністрації</w:t>
      </w:r>
    </w:p>
    <w:p w:rsidR="009E34C2" w:rsidRPr="003C4201" w:rsidRDefault="009E34C2" w:rsidP="009E34C2">
      <w:pPr>
        <w:jc w:val="center"/>
        <w:rPr>
          <w:rFonts w:eastAsia="Times New Roman"/>
          <w:b/>
          <w:sz w:val="28"/>
          <w:szCs w:val="28"/>
        </w:rPr>
      </w:pPr>
      <w:r w:rsidRPr="003C4201">
        <w:rPr>
          <w:rFonts w:eastAsia="Times New Roman"/>
          <w:b/>
          <w:sz w:val="28"/>
          <w:szCs w:val="28"/>
        </w:rPr>
        <w:t xml:space="preserve">за </w:t>
      </w:r>
      <w:r>
        <w:rPr>
          <w:rFonts w:eastAsia="Times New Roman"/>
          <w:b/>
          <w:sz w:val="28"/>
          <w:szCs w:val="28"/>
        </w:rPr>
        <w:t>період з 01.01.2025 по 31.12.2025</w:t>
      </w:r>
    </w:p>
    <w:p w:rsidR="009E34C2" w:rsidRPr="003C4201" w:rsidRDefault="009E34C2" w:rsidP="009E34C2">
      <w:pPr>
        <w:jc w:val="center"/>
        <w:rPr>
          <w:rFonts w:eastAsia="Times New Roman"/>
          <w:b/>
          <w:sz w:val="28"/>
          <w:szCs w:val="28"/>
        </w:rPr>
      </w:pPr>
    </w:p>
    <w:p w:rsidR="009E34C2" w:rsidRPr="003C4201" w:rsidRDefault="009E34C2" w:rsidP="009E34C2">
      <w:pPr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  <w:shd w:val="clear" w:color="auto" w:fill="FFFFFF"/>
        </w:rPr>
      </w:pPr>
      <w:r w:rsidRPr="003C4201">
        <w:rPr>
          <w:rFonts w:eastAsia="Times New Roman"/>
          <w:sz w:val="28"/>
          <w:szCs w:val="28"/>
        </w:rPr>
        <w:t xml:space="preserve">В основу організації роботи із зверненнями громадян покладено завдання, визначені </w:t>
      </w:r>
      <w:r w:rsidRPr="003C4201">
        <w:rPr>
          <w:rFonts w:eastAsia="Times New Roman"/>
          <w:spacing w:val="-1"/>
          <w:sz w:val="28"/>
          <w:szCs w:val="28"/>
          <w:shd w:val="clear" w:color="auto" w:fill="FFFFFF"/>
        </w:rPr>
        <w:t xml:space="preserve">Указом Президента України від 07.02.2008 №109/2008 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самоврядування”, Законом України «Про звернення громадян».  </w:t>
      </w:r>
    </w:p>
    <w:p w:rsidR="009E34C2" w:rsidRPr="003C4201" w:rsidRDefault="009E34C2" w:rsidP="009E34C2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3C4201">
        <w:rPr>
          <w:rFonts w:eastAsia="Times New Roman"/>
          <w:sz w:val="28"/>
          <w:szCs w:val="28"/>
        </w:rPr>
        <w:t xml:space="preserve">Всі звернення, які надходять до Деснянської </w:t>
      </w:r>
      <w:r>
        <w:rPr>
          <w:rFonts w:eastAsia="Times New Roman"/>
          <w:sz w:val="28"/>
          <w:szCs w:val="28"/>
        </w:rPr>
        <w:t xml:space="preserve">районної в місті Києві державної адміністрації (далі - Деснянська РДА) </w:t>
      </w:r>
      <w:r w:rsidRPr="003C4201">
        <w:rPr>
          <w:rFonts w:eastAsia="Times New Roman"/>
          <w:sz w:val="28"/>
          <w:szCs w:val="28"/>
        </w:rPr>
        <w:t>опрацьовуються та централізовано реєструються в</w:t>
      </w:r>
      <w:r>
        <w:rPr>
          <w:rFonts w:eastAsia="Times New Roman"/>
          <w:sz w:val="28"/>
          <w:szCs w:val="28"/>
        </w:rPr>
        <w:t xml:space="preserve"> модулі «звернення громадян» інформаційно-телекомунікаційної системи </w:t>
      </w:r>
      <w:r w:rsidRPr="003C4201">
        <w:rPr>
          <w:rFonts w:eastAsia="Times New Roman"/>
          <w:sz w:val="28"/>
          <w:szCs w:val="28"/>
        </w:rPr>
        <w:t>«Єдиний інформаційний простір територіа</w:t>
      </w:r>
      <w:r>
        <w:rPr>
          <w:rFonts w:eastAsia="Times New Roman"/>
          <w:sz w:val="28"/>
          <w:szCs w:val="28"/>
        </w:rPr>
        <w:t>льної громади міста Києва»</w:t>
      </w:r>
      <w:r w:rsidRPr="003C4201">
        <w:rPr>
          <w:rFonts w:eastAsia="Times New Roman"/>
          <w:sz w:val="28"/>
          <w:szCs w:val="28"/>
        </w:rPr>
        <w:t xml:space="preserve">. </w:t>
      </w:r>
    </w:p>
    <w:p w:rsidR="009E34C2" w:rsidRDefault="009E34C2" w:rsidP="009E34C2">
      <w:pPr>
        <w:spacing w:line="360" w:lineRule="auto"/>
        <w:ind w:firstLine="705"/>
        <w:jc w:val="both"/>
        <w:rPr>
          <w:rFonts w:eastAsia="Times New Roman"/>
          <w:sz w:val="28"/>
          <w:szCs w:val="28"/>
        </w:rPr>
      </w:pPr>
      <w:r w:rsidRPr="003C4201">
        <w:rPr>
          <w:rFonts w:eastAsia="Times New Roman"/>
          <w:sz w:val="28"/>
          <w:szCs w:val="28"/>
        </w:rPr>
        <w:t xml:space="preserve">За </w:t>
      </w:r>
      <w:r>
        <w:rPr>
          <w:rFonts w:eastAsia="Times New Roman"/>
          <w:sz w:val="28"/>
          <w:szCs w:val="28"/>
        </w:rPr>
        <w:t>звітний період</w:t>
      </w:r>
      <w:r w:rsidRPr="003C4201">
        <w:rPr>
          <w:rFonts w:eastAsia="Times New Roman"/>
          <w:sz w:val="28"/>
          <w:szCs w:val="28"/>
        </w:rPr>
        <w:t xml:space="preserve">  до Деснянської  РДА надійшло  </w:t>
      </w:r>
      <w:r>
        <w:rPr>
          <w:rFonts w:eastAsia="Times New Roman"/>
          <w:sz w:val="28"/>
          <w:szCs w:val="28"/>
        </w:rPr>
        <w:t>3452  звернення</w:t>
      </w:r>
      <w:r w:rsidRPr="003C42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від 6492 громадян. За аналогічний  період  2024</w:t>
      </w:r>
      <w:r w:rsidRPr="003C4201">
        <w:rPr>
          <w:rFonts w:eastAsia="Times New Roman"/>
          <w:sz w:val="28"/>
          <w:szCs w:val="28"/>
        </w:rPr>
        <w:t xml:space="preserve"> року надійшло </w:t>
      </w:r>
      <w:r>
        <w:rPr>
          <w:rFonts w:eastAsia="Times New Roman"/>
          <w:b/>
          <w:sz w:val="28"/>
          <w:szCs w:val="28"/>
        </w:rPr>
        <w:t xml:space="preserve"> </w:t>
      </w:r>
      <w:r w:rsidRPr="00D3619C">
        <w:rPr>
          <w:rFonts w:eastAsia="Times New Roman"/>
          <w:sz w:val="28"/>
          <w:szCs w:val="28"/>
        </w:rPr>
        <w:t>3256 звернень від  6410 громадян. У порівнянні з минулим роком загальна кількість</w:t>
      </w:r>
      <w:r>
        <w:rPr>
          <w:rFonts w:eastAsia="Times New Roman"/>
          <w:sz w:val="28"/>
          <w:szCs w:val="28"/>
        </w:rPr>
        <w:t xml:space="preserve"> звернень громадян збільшилась на 196 звернень або  6 %. 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Громадяни передусім мають можливість звернутись до Деснянської РДА, в</w:t>
      </w:r>
      <w:r w:rsidRPr="00CF34F4">
        <w:rPr>
          <w:color w:val="000000"/>
          <w:sz w:val="28"/>
          <w:szCs w:val="28"/>
        </w:rPr>
        <w:t xml:space="preserve">ідповідно до вимог Закону України «Про звернення громадян», через офіційний веб-портал  </w:t>
      </w:r>
      <w:r>
        <w:rPr>
          <w:color w:val="000000"/>
          <w:sz w:val="28"/>
          <w:szCs w:val="28"/>
        </w:rPr>
        <w:t>адміністрації</w:t>
      </w:r>
      <w:r w:rsidRPr="00CF34F4">
        <w:rPr>
          <w:color w:val="000000"/>
          <w:sz w:val="28"/>
          <w:szCs w:val="28"/>
        </w:rPr>
        <w:t xml:space="preserve"> </w:t>
      </w:r>
      <w:r w:rsidRPr="00CF34F4">
        <w:rPr>
          <w:sz w:val="28"/>
          <w:szCs w:val="28"/>
        </w:rPr>
        <w:t xml:space="preserve">-  </w:t>
      </w:r>
      <w:hyperlink r:id="rId5" w:history="1">
        <w:r w:rsidRPr="0038700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vrzg_desn</w:t>
        </w:r>
        <w:r w:rsidRPr="00387002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rda</w:t>
        </w:r>
        <w:r w:rsidRPr="0038700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387002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kyivcity</w:t>
        </w:r>
        <w:r w:rsidRPr="00387002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.gov.ua</w:t>
        </w:r>
      </w:hyperlink>
      <w:r>
        <w:rPr>
          <w:sz w:val="28"/>
          <w:szCs w:val="28"/>
        </w:rPr>
        <w:t xml:space="preserve">, а також заповнивши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 xml:space="preserve"> форму звернення до голови Деснянської РДА. 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року зареєстровано 792 електронних звернення (у 2024 – 339 звернень).</w:t>
      </w:r>
    </w:p>
    <w:p w:rsidR="009E34C2" w:rsidRPr="003C4201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Всього </w:t>
      </w:r>
      <w:r>
        <w:rPr>
          <w:rFonts w:eastAsia="Times New Roman"/>
          <w:sz w:val="28"/>
          <w:szCs w:val="28"/>
        </w:rPr>
        <w:t xml:space="preserve">Відділом роботи із зверненнями громадян Деснянської РДА </w:t>
      </w:r>
      <w:r w:rsidRPr="003C4201">
        <w:rPr>
          <w:rFonts w:eastAsia="Times New Roman"/>
          <w:sz w:val="28"/>
          <w:szCs w:val="28"/>
        </w:rPr>
        <w:t xml:space="preserve"> було зареєстровано:</w:t>
      </w:r>
    </w:p>
    <w:p w:rsidR="009E34C2" w:rsidRPr="003C4201" w:rsidRDefault="009E34C2" w:rsidP="009E34C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звернення, що надійшли на пошту</w:t>
      </w:r>
      <w:r w:rsidRPr="000633D6">
        <w:rPr>
          <w:rFonts w:eastAsia="Times New Roman"/>
          <w:sz w:val="28"/>
          <w:szCs w:val="28"/>
        </w:rPr>
        <w:t xml:space="preserve"> - </w:t>
      </w:r>
      <w:r w:rsidRPr="003C42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3334 </w:t>
      </w:r>
      <w:r w:rsidRPr="000633D6">
        <w:rPr>
          <w:rFonts w:eastAsia="Times New Roman"/>
          <w:sz w:val="28"/>
          <w:szCs w:val="28"/>
        </w:rPr>
        <w:t>звернення</w:t>
      </w:r>
      <w:r w:rsidRPr="003C4201">
        <w:rPr>
          <w:rFonts w:eastAsia="Times New Roman"/>
          <w:sz w:val="28"/>
          <w:szCs w:val="28"/>
        </w:rPr>
        <w:t xml:space="preserve"> </w:t>
      </w:r>
    </w:p>
    <w:p w:rsidR="009E34C2" w:rsidRPr="003C4201" w:rsidRDefault="009E34C2" w:rsidP="009E34C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звернень на особистому прийомі</w:t>
      </w:r>
      <w:r w:rsidRPr="000633D6">
        <w:rPr>
          <w:rFonts w:eastAsia="Times New Roman"/>
          <w:sz w:val="28"/>
          <w:szCs w:val="28"/>
        </w:rPr>
        <w:t xml:space="preserve"> – </w:t>
      </w:r>
      <w:r w:rsidRPr="003C42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118</w:t>
      </w:r>
      <w:r w:rsidRPr="000633D6">
        <w:rPr>
          <w:rFonts w:eastAsia="Times New Roman"/>
          <w:sz w:val="28"/>
          <w:szCs w:val="28"/>
        </w:rPr>
        <w:t xml:space="preserve"> </w:t>
      </w:r>
      <w:r w:rsidRPr="003C4201">
        <w:rPr>
          <w:rFonts w:eastAsia="Times New Roman"/>
          <w:sz w:val="28"/>
          <w:szCs w:val="28"/>
        </w:rPr>
        <w:t xml:space="preserve">звернень </w:t>
      </w:r>
    </w:p>
    <w:p w:rsidR="009E34C2" w:rsidRPr="003C4201" w:rsidRDefault="009E34C2" w:rsidP="009E34C2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C4201">
        <w:rPr>
          <w:rFonts w:eastAsia="Times New Roman"/>
          <w:sz w:val="28"/>
          <w:szCs w:val="28"/>
        </w:rPr>
        <w:t xml:space="preserve">колективних – </w:t>
      </w:r>
      <w:r>
        <w:rPr>
          <w:rFonts w:eastAsia="Times New Roman"/>
          <w:sz w:val="28"/>
          <w:szCs w:val="28"/>
        </w:rPr>
        <w:t>220</w:t>
      </w:r>
      <w:r w:rsidRPr="003C420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звернень.</w:t>
      </w:r>
      <w:r w:rsidRPr="003C4201">
        <w:rPr>
          <w:rFonts w:eastAsia="Times New Roman"/>
          <w:sz w:val="28"/>
          <w:szCs w:val="28"/>
        </w:rPr>
        <w:t xml:space="preserve"> </w:t>
      </w:r>
    </w:p>
    <w:p w:rsidR="009E34C2" w:rsidRDefault="009E34C2" w:rsidP="009E34C2">
      <w:pPr>
        <w:pStyle w:val="1"/>
        <w:spacing w:line="360" w:lineRule="auto"/>
        <w:jc w:val="left"/>
        <w:rPr>
          <w:b w:val="0"/>
          <w:szCs w:val="28"/>
        </w:rPr>
      </w:pPr>
      <w:r w:rsidRPr="00F41137">
        <w:rPr>
          <w:b w:val="0"/>
          <w:szCs w:val="28"/>
        </w:rPr>
        <w:lastRenderedPageBreak/>
        <w:t>Порівняльний аналіз надхо</w:t>
      </w:r>
      <w:r>
        <w:rPr>
          <w:b w:val="0"/>
          <w:szCs w:val="28"/>
        </w:rPr>
        <w:t>д</w:t>
      </w:r>
      <w:r w:rsidRPr="00F41137">
        <w:rPr>
          <w:b w:val="0"/>
          <w:szCs w:val="28"/>
        </w:rPr>
        <w:t>жень звернень громадян наведено в таблиці 1</w:t>
      </w:r>
      <w:r>
        <w:rPr>
          <w:b w:val="0"/>
          <w:szCs w:val="28"/>
        </w:rPr>
        <w:t>.</w:t>
      </w:r>
    </w:p>
    <w:p w:rsidR="009E34C2" w:rsidRPr="000633D6" w:rsidRDefault="009E34C2" w:rsidP="009E34C2">
      <w:pPr>
        <w:pStyle w:val="1"/>
        <w:spacing w:line="360" w:lineRule="auto"/>
        <w:jc w:val="left"/>
        <w:rPr>
          <w:b w:val="0"/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</w:p>
    <w:p w:rsidR="009E34C2" w:rsidRPr="00D3619C" w:rsidRDefault="009E34C2" w:rsidP="009E34C2">
      <w:pPr>
        <w:ind w:firstLine="708"/>
        <w:jc w:val="right"/>
        <w:rPr>
          <w:sz w:val="28"/>
          <w:szCs w:val="28"/>
        </w:rPr>
      </w:pPr>
      <w:r w:rsidRPr="00D3619C">
        <w:rPr>
          <w:sz w:val="28"/>
          <w:szCs w:val="28"/>
        </w:rPr>
        <w:t>Таблиця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67"/>
        <w:gridCol w:w="1337"/>
        <w:gridCol w:w="1494"/>
        <w:gridCol w:w="1337"/>
        <w:gridCol w:w="1465"/>
      </w:tblGrid>
      <w:tr w:rsidR="009E34C2" w:rsidRPr="00D3619C" w:rsidTr="008875EA">
        <w:trPr>
          <w:trHeight w:val="371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№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Форма надходження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2025</w:t>
            </w:r>
          </w:p>
        </w:tc>
      </w:tr>
      <w:tr w:rsidR="009E34C2" w:rsidRPr="00D3619C" w:rsidTr="008875EA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 звернень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 у  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 звернень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 xml:space="preserve">Кількість 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у %</w:t>
            </w:r>
          </w:p>
        </w:tc>
      </w:tr>
      <w:tr w:rsidR="009E34C2" w:rsidRPr="00D3619C" w:rsidTr="008875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Усні звернення</w:t>
            </w:r>
          </w:p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4,2 %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4%</w:t>
            </w:r>
          </w:p>
        </w:tc>
      </w:tr>
      <w:tr w:rsidR="009E34C2" w:rsidRPr="00D3619C" w:rsidTr="008875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Письмові звернення</w:t>
            </w:r>
          </w:p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3121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95,8 %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3334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96%</w:t>
            </w:r>
          </w:p>
        </w:tc>
      </w:tr>
      <w:tr w:rsidR="009E34C2" w:rsidRPr="00D3619C" w:rsidTr="008875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 xml:space="preserve">   3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Загальна кількість звернень</w:t>
            </w:r>
          </w:p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з них колективних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3256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173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100 %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5,3%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3452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100%</w:t>
            </w: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7 %</w:t>
            </w:r>
          </w:p>
        </w:tc>
      </w:tr>
    </w:tbl>
    <w:p w:rsidR="009E34C2" w:rsidRDefault="009E34C2" w:rsidP="009E34C2">
      <w:pPr>
        <w:spacing w:line="360" w:lineRule="auto"/>
        <w:jc w:val="both"/>
        <w:rPr>
          <w:color w:val="000000"/>
          <w:sz w:val="28"/>
          <w:szCs w:val="28"/>
        </w:rPr>
      </w:pPr>
    </w:p>
    <w:p w:rsidR="009E34C2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Безпосередньо до Деснянської РДА надійшло 2890 звернень. На виконання від Київської міської державної адміністрації надійшло 562 звернення, що складає  16 % від загальної кількості звернень у 2025 році.</w:t>
      </w:r>
    </w:p>
    <w:p w:rsidR="009E34C2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Загалом  для розгляду питань, які належать до компетенції Деснянської райдержадміністрації (в розрізі кореспондентів) за звітний період передані звернення: </w:t>
      </w:r>
    </w:p>
    <w:p w:rsidR="009E34C2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від  Київської  міської  державної  адміністрації – 562</w:t>
      </w:r>
    </w:p>
    <w:p w:rsidR="009E34C2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безпосередньо від громадян - 2625</w:t>
      </w:r>
    </w:p>
    <w:p w:rsidR="009E34C2" w:rsidRPr="00A6335D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органів  прокуратури - 4</w:t>
      </w:r>
    </w:p>
    <w:p w:rsidR="009E34C2" w:rsidRPr="00A6335D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335D">
        <w:rPr>
          <w:sz w:val="28"/>
          <w:szCs w:val="28"/>
        </w:rPr>
        <w:t xml:space="preserve">народних депутатів  - </w:t>
      </w:r>
      <w:r>
        <w:rPr>
          <w:sz w:val="28"/>
          <w:szCs w:val="28"/>
        </w:rPr>
        <w:t>5</w:t>
      </w:r>
      <w:r w:rsidRPr="00A6335D">
        <w:rPr>
          <w:sz w:val="28"/>
          <w:szCs w:val="28"/>
        </w:rPr>
        <w:t xml:space="preserve"> </w:t>
      </w:r>
    </w:p>
    <w:p w:rsidR="009E34C2" w:rsidRPr="00A6335D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335D">
        <w:rPr>
          <w:sz w:val="28"/>
          <w:szCs w:val="28"/>
        </w:rPr>
        <w:t xml:space="preserve">Верховної Ради України </w:t>
      </w:r>
      <w:r>
        <w:rPr>
          <w:sz w:val="28"/>
          <w:szCs w:val="28"/>
        </w:rPr>
        <w:t xml:space="preserve"> - 13</w:t>
      </w:r>
    </w:p>
    <w:p w:rsidR="009E34C2" w:rsidRDefault="009E34C2" w:rsidP="009E34C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335D">
        <w:rPr>
          <w:sz w:val="28"/>
          <w:szCs w:val="28"/>
        </w:rPr>
        <w:t xml:space="preserve">через органи державної влади - </w:t>
      </w:r>
      <w:r>
        <w:rPr>
          <w:sz w:val="28"/>
          <w:szCs w:val="28"/>
        </w:rPr>
        <w:t>243</w:t>
      </w:r>
      <w:r w:rsidRPr="00A6335D">
        <w:rPr>
          <w:sz w:val="28"/>
          <w:szCs w:val="28"/>
        </w:rPr>
        <w:t>.</w:t>
      </w:r>
    </w:p>
    <w:p w:rsidR="009E34C2" w:rsidRDefault="009E34C2" w:rsidP="009E34C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Громадяни звертались передусім із заявами - 3350, скаргами - 99, пропозиціями - 3.</w:t>
      </w:r>
    </w:p>
    <w:p w:rsidR="009E34C2" w:rsidRPr="00A6470E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результаті їх розгляду  дано роз'яснення на  3296 звернень, вирішено позитивно – 63 звернення,  відмовлено у задоволенні – </w:t>
      </w:r>
      <w:r w:rsidRPr="001E11AF">
        <w:rPr>
          <w:sz w:val="28"/>
          <w:szCs w:val="28"/>
        </w:rPr>
        <w:t>0</w:t>
      </w:r>
      <w:r>
        <w:rPr>
          <w:sz w:val="28"/>
          <w:szCs w:val="28"/>
        </w:rPr>
        <w:t>, повторні звернення відсутні  (Таблиця 2).</w:t>
      </w:r>
    </w:p>
    <w:p w:rsidR="009E34C2" w:rsidRDefault="009E34C2" w:rsidP="009E34C2">
      <w:pPr>
        <w:spacing w:after="200" w:line="276" w:lineRule="auto"/>
        <w:jc w:val="right"/>
      </w:pPr>
    </w:p>
    <w:p w:rsidR="009E34C2" w:rsidRPr="00D3619C" w:rsidRDefault="009E34C2" w:rsidP="009E34C2">
      <w:pPr>
        <w:spacing w:after="200" w:line="276" w:lineRule="auto"/>
        <w:jc w:val="right"/>
        <w:rPr>
          <w:sz w:val="28"/>
          <w:szCs w:val="28"/>
        </w:rPr>
      </w:pPr>
      <w:r w:rsidRPr="00D3619C">
        <w:rPr>
          <w:sz w:val="28"/>
          <w:szCs w:val="28"/>
        </w:rPr>
        <w:lastRenderedPageBreak/>
        <w:t>Таблиця 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2511"/>
        <w:gridCol w:w="1461"/>
        <w:gridCol w:w="1559"/>
        <w:gridCol w:w="1630"/>
        <w:gridCol w:w="1337"/>
      </w:tblGrid>
      <w:tr w:rsidR="009E34C2" w:rsidRPr="00D3619C" w:rsidTr="008875EA">
        <w:trPr>
          <w:trHeight w:val="38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2025</w:t>
            </w:r>
          </w:p>
        </w:tc>
      </w:tr>
      <w:tr w:rsidR="009E34C2" w:rsidRPr="00D3619C" w:rsidTr="008875EA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 у 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Кількість у %</w:t>
            </w:r>
          </w:p>
        </w:tc>
      </w:tr>
      <w:tr w:rsidR="009E34C2" w:rsidRPr="00D3619C" w:rsidTr="008875EA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Заяв (клопотань)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96,7%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3350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97%</w:t>
            </w:r>
          </w:p>
        </w:tc>
      </w:tr>
      <w:tr w:rsidR="009E34C2" w:rsidRPr="00D3619C" w:rsidTr="008875EA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Скарг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3,3%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3%</w:t>
            </w:r>
          </w:p>
        </w:tc>
      </w:tr>
      <w:tr w:rsidR="009E34C2" w:rsidRPr="00D3619C" w:rsidTr="008875EA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Пропозицій (зауважень)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9E34C2" w:rsidRPr="00D3619C" w:rsidTr="008875EA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Разом</w:t>
            </w:r>
          </w:p>
          <w:p w:rsidR="009E34C2" w:rsidRPr="00D3619C" w:rsidRDefault="009E34C2" w:rsidP="008875E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3256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3619C">
              <w:rPr>
                <w:b/>
                <w:sz w:val="28"/>
                <w:szCs w:val="28"/>
                <w:lang w:eastAsia="en-US"/>
              </w:rPr>
              <w:t>3452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D3619C" w:rsidRDefault="009E34C2" w:rsidP="008875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3619C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E2300B">
        <w:rPr>
          <w:sz w:val="28"/>
          <w:szCs w:val="28"/>
        </w:rPr>
        <w:t xml:space="preserve">На виконання до Деснянської райдержадміністрації надійшло </w:t>
      </w:r>
      <w:r>
        <w:rPr>
          <w:sz w:val="28"/>
          <w:szCs w:val="28"/>
        </w:rPr>
        <w:t>99 доручень від</w:t>
      </w:r>
      <w:r w:rsidRPr="00E2300B">
        <w:rPr>
          <w:sz w:val="28"/>
          <w:szCs w:val="28"/>
        </w:rPr>
        <w:t xml:space="preserve"> Київського міського голови. </w:t>
      </w:r>
      <w:r>
        <w:rPr>
          <w:sz w:val="28"/>
          <w:szCs w:val="28"/>
        </w:rPr>
        <w:t>Службами ретельно опрацьовані проблемні питання, що порушили мешканці та з</w:t>
      </w:r>
      <w:r w:rsidRPr="00E2300B">
        <w:rPr>
          <w:sz w:val="28"/>
          <w:szCs w:val="28"/>
        </w:rPr>
        <w:t>а результатом розгляду, надано</w:t>
      </w:r>
      <w:r>
        <w:rPr>
          <w:sz w:val="28"/>
          <w:szCs w:val="28"/>
        </w:rPr>
        <w:t xml:space="preserve"> відповідні роз’яснення </w:t>
      </w:r>
      <w:r w:rsidRPr="00E2300B">
        <w:rPr>
          <w:sz w:val="28"/>
          <w:szCs w:val="28"/>
        </w:rPr>
        <w:t xml:space="preserve"> заявникам.</w:t>
      </w:r>
      <w:r>
        <w:rPr>
          <w:sz w:val="28"/>
          <w:szCs w:val="28"/>
        </w:rPr>
        <w:t xml:space="preserve"> 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окремим дорученням Київського міського голови  було прийнято на особистому прийомі в Деснянській РДА 5 осіб. Розглянуто за дорученням 9 звернень, про що було особисто повідомлено В. Кличко.  </w:t>
      </w:r>
    </w:p>
    <w:p w:rsidR="009E34C2" w:rsidRPr="00D50A8F" w:rsidRDefault="009E34C2" w:rsidP="009E34C2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>За період з 01.01.202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 по 31.12</w:t>
      </w: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 Деснянської райдержадміністрації надійшло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220 колективних  звернень, частка яких становить 7% від усіх звернень.</w:t>
      </w:r>
    </w:p>
    <w:p w:rsidR="009E34C2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D50A8F">
        <w:rPr>
          <w:sz w:val="28"/>
          <w:szCs w:val="28"/>
        </w:rPr>
        <w:t xml:space="preserve">Здебільшого у колективних зверненнях порушувались питання </w:t>
      </w:r>
      <w:r>
        <w:rPr>
          <w:sz w:val="28"/>
          <w:szCs w:val="28"/>
        </w:rPr>
        <w:t>ліфтів (ремонт/заміна), комунального домогосподарства (ремонтів в будинках, заміна вікон, дверей), питання діяльності ОСББ, ЖБК , благоустрій, відносини з сусідами, питання освіти, нарахування за житлово-комунальні послуги, незгода із тарифами, стан доріг, асфальтування, облаштування пандусів тощо.</w:t>
      </w:r>
      <w:r w:rsidRPr="00D50A8F">
        <w:rPr>
          <w:sz w:val="28"/>
          <w:szCs w:val="28"/>
        </w:rPr>
        <w:t xml:space="preserve"> </w:t>
      </w:r>
    </w:p>
    <w:p w:rsidR="009E34C2" w:rsidRPr="00D50A8F" w:rsidRDefault="009E34C2" w:rsidP="009E34C2">
      <w:pPr>
        <w:spacing w:line="360" w:lineRule="auto"/>
        <w:jc w:val="both"/>
        <w:rPr>
          <w:sz w:val="28"/>
          <w:szCs w:val="28"/>
        </w:rPr>
      </w:pPr>
    </w:p>
    <w:p w:rsidR="009E34C2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D50A8F">
        <w:rPr>
          <w:sz w:val="28"/>
          <w:szCs w:val="28"/>
        </w:rPr>
        <w:t xml:space="preserve">Мешканці району в своїх зверненнях порушили  </w:t>
      </w:r>
      <w:r>
        <w:rPr>
          <w:sz w:val="28"/>
          <w:szCs w:val="28"/>
        </w:rPr>
        <w:t>3840</w:t>
      </w:r>
      <w:r w:rsidRPr="00D50A8F">
        <w:rPr>
          <w:sz w:val="28"/>
          <w:szCs w:val="28"/>
        </w:rPr>
        <w:t xml:space="preserve"> питан</w:t>
      </w:r>
      <w:r>
        <w:rPr>
          <w:sz w:val="28"/>
          <w:szCs w:val="28"/>
        </w:rPr>
        <w:t>ь</w:t>
      </w:r>
      <w:r w:rsidRPr="00D50A8F">
        <w:rPr>
          <w:sz w:val="28"/>
          <w:szCs w:val="28"/>
        </w:rPr>
        <w:t xml:space="preserve">  до Деснянської </w:t>
      </w:r>
      <w:r>
        <w:rPr>
          <w:sz w:val="28"/>
          <w:szCs w:val="28"/>
        </w:rPr>
        <w:t>РДА</w:t>
      </w:r>
      <w:r w:rsidRPr="00D50A8F">
        <w:rPr>
          <w:sz w:val="28"/>
          <w:szCs w:val="28"/>
        </w:rPr>
        <w:t>, за аналогічний період 202</w:t>
      </w:r>
      <w:r>
        <w:rPr>
          <w:sz w:val="28"/>
          <w:szCs w:val="28"/>
        </w:rPr>
        <w:t>4</w:t>
      </w:r>
      <w:r w:rsidRPr="00D50A8F">
        <w:rPr>
          <w:sz w:val="28"/>
          <w:szCs w:val="28"/>
        </w:rPr>
        <w:t xml:space="preserve"> року  було порушено </w:t>
      </w:r>
      <w:r>
        <w:rPr>
          <w:sz w:val="28"/>
          <w:szCs w:val="28"/>
        </w:rPr>
        <w:t xml:space="preserve">3541 питання (Таблиця 3).  </w:t>
      </w:r>
    </w:p>
    <w:p w:rsidR="009E34C2" w:rsidRDefault="009E34C2" w:rsidP="009E34C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49"/>
        <w:gridCol w:w="1337"/>
        <w:gridCol w:w="1356"/>
        <w:gridCol w:w="1337"/>
        <w:gridCol w:w="1372"/>
      </w:tblGrid>
      <w:tr w:rsidR="009E34C2" w:rsidRPr="003F7F6C" w:rsidTr="008875EA">
        <w:trPr>
          <w:trHeight w:val="37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lastRenderedPageBreak/>
              <w:t>№</w:t>
            </w:r>
          </w:p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Порушено питань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2024</w:t>
            </w:r>
          </w:p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2025</w:t>
            </w:r>
          </w:p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E34C2" w:rsidRPr="003F7F6C" w:rsidTr="008875E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3F7F6C" w:rsidRDefault="009E34C2" w:rsidP="008875E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3F7F6C" w:rsidRDefault="009E34C2" w:rsidP="008875E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Кількість питань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Питома вага звернень</w:t>
            </w:r>
          </w:p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 xml:space="preserve"> у 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Кількість питань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 xml:space="preserve">Питома вага звернень </w:t>
            </w:r>
          </w:p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у 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 xml:space="preserve">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30,9%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1457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37,9%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 xml:space="preserve">Соціального захисту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1048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28,7%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18,7%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 xml:space="preserve">Житлової політики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7,1%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7,9%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Транспорту і зв'язку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1,5%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Аграрної  політики та земельних відносин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0,5%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0,4%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Забезпечення дотримання законності та правопорядку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8,3%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Питання освіти та інтелектуальної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1,4%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1,8%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Питання охорони здоров'я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3,3%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3,3%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9</w:t>
            </w:r>
          </w:p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Екології та природних ресурсів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0,6%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0,6%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10</w:t>
            </w:r>
          </w:p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F7F6C">
              <w:rPr>
                <w:rFonts w:eastAsia="Times New Roman"/>
                <w:sz w:val="28"/>
                <w:szCs w:val="28"/>
              </w:rPr>
              <w:t>Діяльність місцевих органів виконавчої влади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0,6%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1,8%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Сімейна та гендерна політика, захист прав дітей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1,3%</w:t>
            </w:r>
          </w:p>
        </w:tc>
      </w:tr>
      <w:tr w:rsidR="009E34C2" w:rsidRPr="003F7F6C" w:rsidTr="008875E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Діяльність місцевих органів виконавчої влади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3F7F6C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0,6%</w:t>
            </w:r>
          </w:p>
        </w:tc>
      </w:tr>
    </w:tbl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</w:p>
    <w:p w:rsidR="009E34C2" w:rsidRPr="00D058FD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D058FD">
        <w:rPr>
          <w:sz w:val="28"/>
          <w:szCs w:val="28"/>
        </w:rPr>
        <w:t>Найбільша кількість  порушених громадянами питань стосувалась житлово-комунального господарства. Мешканці району у своїх зверненнях порушували питання ремонту ліфтів,</w:t>
      </w:r>
      <w:r>
        <w:rPr>
          <w:sz w:val="28"/>
          <w:szCs w:val="28"/>
        </w:rPr>
        <w:t xml:space="preserve"> ремонту дахів, місць загального користування,</w:t>
      </w:r>
      <w:r w:rsidRPr="00D058FD">
        <w:rPr>
          <w:sz w:val="28"/>
          <w:szCs w:val="28"/>
        </w:rPr>
        <w:t xml:space="preserve"> питання благоустрою території, діяльності ОСББ та ЖБК, незгоди із нарахуванням плати за комунальні послуг</w:t>
      </w:r>
      <w:r>
        <w:rPr>
          <w:sz w:val="28"/>
          <w:szCs w:val="28"/>
        </w:rPr>
        <w:t>и, високі тарифи, незадовільне</w:t>
      </w:r>
      <w:r w:rsidRPr="00D058FD">
        <w:rPr>
          <w:sz w:val="28"/>
          <w:szCs w:val="28"/>
        </w:rPr>
        <w:t xml:space="preserve"> обслуговування та утримання будинків.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846640">
        <w:rPr>
          <w:sz w:val="28"/>
          <w:szCs w:val="28"/>
        </w:rPr>
        <w:t>Актуальними залишаються питання соціального захисту.</w:t>
      </w:r>
      <w:r>
        <w:rPr>
          <w:sz w:val="28"/>
          <w:szCs w:val="28"/>
        </w:rPr>
        <w:t xml:space="preserve"> В своїх зверненнях мешканці порушували питання опіки, виплати різних видів соціальних допомог, призначення виплат, встановлення пільг, робота соціальних </w:t>
      </w:r>
      <w:r>
        <w:rPr>
          <w:sz w:val="28"/>
          <w:szCs w:val="28"/>
        </w:rPr>
        <w:lastRenderedPageBreak/>
        <w:t xml:space="preserve">служб, а також питання надання акту по догляду для відстрочки від військової служби, 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надання житла, приватизації, отримання ордеру на житло є найбільш порушуваними серед громадян. 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Мешканці також звертались з питаннями життєдіяльності, оренди, надання дозволу на встановлення гаражів, незаконного паркування, паспортного режиму, захисту прав дітей та неповнолітніх, </w:t>
      </w:r>
      <w:proofErr w:type="spellStart"/>
      <w:r>
        <w:rPr>
          <w:sz w:val="28"/>
          <w:szCs w:val="28"/>
        </w:rPr>
        <w:t>меморіалізація</w:t>
      </w:r>
      <w:proofErr w:type="spellEnd"/>
      <w:r>
        <w:rPr>
          <w:sz w:val="28"/>
          <w:szCs w:val="28"/>
        </w:rPr>
        <w:t xml:space="preserve"> пам'яті видатних людей та подій, присвоєння поштової адреси, облаштування бомбосховищ та інше.</w:t>
      </w:r>
    </w:p>
    <w:p w:rsidR="009E34C2" w:rsidRPr="002C5F91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2C5F91">
        <w:rPr>
          <w:sz w:val="28"/>
          <w:szCs w:val="28"/>
        </w:rPr>
        <w:t>За період з 01.01.202</w:t>
      </w:r>
      <w:r>
        <w:rPr>
          <w:sz w:val="28"/>
          <w:szCs w:val="28"/>
        </w:rPr>
        <w:t>5 по 31.12</w:t>
      </w:r>
      <w:r w:rsidRPr="002C5F9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C5F91">
        <w:rPr>
          <w:sz w:val="28"/>
          <w:szCs w:val="28"/>
        </w:rPr>
        <w:t xml:space="preserve"> надійшло </w:t>
      </w:r>
      <w:r>
        <w:rPr>
          <w:sz w:val="28"/>
          <w:szCs w:val="28"/>
        </w:rPr>
        <w:t>8</w:t>
      </w:r>
      <w:r w:rsidRPr="002C5F91">
        <w:rPr>
          <w:sz w:val="28"/>
          <w:szCs w:val="28"/>
        </w:rPr>
        <w:t xml:space="preserve"> лист</w:t>
      </w:r>
      <w:r>
        <w:rPr>
          <w:sz w:val="28"/>
          <w:szCs w:val="28"/>
        </w:rPr>
        <w:t>ів</w:t>
      </w:r>
      <w:r w:rsidRPr="002C5F91">
        <w:rPr>
          <w:sz w:val="28"/>
          <w:szCs w:val="28"/>
        </w:rPr>
        <w:t xml:space="preserve">  з подяками щодо роботи працівників райдержадміністр</w:t>
      </w:r>
      <w:r>
        <w:rPr>
          <w:sz w:val="28"/>
          <w:szCs w:val="28"/>
        </w:rPr>
        <w:t>ації та структурних підрозділів з таких питань: за належну організацію роботи у сфері житлово-комунального господарства, функціонування спортивного комплексу, відновлення роботи ліфтів, роботи працівників ЦНАП.</w:t>
      </w:r>
    </w:p>
    <w:p w:rsidR="009E34C2" w:rsidRDefault="009E34C2" w:rsidP="009E34C2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69080B">
        <w:rPr>
          <w:rFonts w:eastAsia="Times New Roman"/>
          <w:sz w:val="28"/>
          <w:szCs w:val="28"/>
        </w:rPr>
        <w:t xml:space="preserve">Всього за звітний період надійшло </w:t>
      </w:r>
      <w:r>
        <w:rPr>
          <w:rFonts w:eastAsia="Times New Roman"/>
          <w:sz w:val="28"/>
          <w:szCs w:val="28"/>
        </w:rPr>
        <w:t>1 звернення від жінки, якій</w:t>
      </w:r>
      <w:r w:rsidRPr="0069080B">
        <w:rPr>
          <w:rFonts w:eastAsia="Times New Roman"/>
          <w:sz w:val="28"/>
          <w:szCs w:val="28"/>
        </w:rPr>
        <w:t xml:space="preserve"> присвоєно почесне звання України «Мати-героїня»</w:t>
      </w:r>
      <w:r>
        <w:rPr>
          <w:rFonts w:eastAsia="Times New Roman"/>
          <w:sz w:val="28"/>
          <w:szCs w:val="28"/>
        </w:rPr>
        <w:t>, 13</w:t>
      </w:r>
      <w:r w:rsidRPr="0069080B">
        <w:rPr>
          <w:rFonts w:eastAsia="Times New Roman"/>
          <w:sz w:val="28"/>
          <w:szCs w:val="28"/>
        </w:rPr>
        <w:t xml:space="preserve"> звернень від </w:t>
      </w:r>
      <w:r>
        <w:rPr>
          <w:rFonts w:eastAsia="Times New Roman"/>
          <w:sz w:val="28"/>
          <w:szCs w:val="28"/>
        </w:rPr>
        <w:t xml:space="preserve">осіб з інвалідністю внаслідок війни </w:t>
      </w:r>
      <w:r w:rsidRPr="0069080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 питань надання житла та встановлення пільг.</w:t>
      </w:r>
    </w:p>
    <w:p w:rsidR="009E34C2" w:rsidRPr="00C25801" w:rsidRDefault="009E34C2" w:rsidP="009E34C2">
      <w:pPr>
        <w:spacing w:line="360" w:lineRule="auto"/>
        <w:ind w:firstLine="705"/>
        <w:jc w:val="both"/>
        <w:rPr>
          <w:rFonts w:eastAsia="Times New Roman"/>
          <w:sz w:val="28"/>
          <w:szCs w:val="28"/>
        </w:rPr>
      </w:pPr>
      <w:r w:rsidRPr="0069080B">
        <w:rPr>
          <w:rFonts w:eastAsia="Times New Roman"/>
          <w:sz w:val="28"/>
          <w:szCs w:val="28"/>
        </w:rPr>
        <w:t>Особливу увагу в Деснянському районі приділяють вирішенню проблем, з якими звертаються ветерани війни та праці, інваліди, які постраждали внаслідок Чорнобильської катастрофи, багатодітні сім’ї, одинокі матері та інші громадяни, які потребують соціал</w:t>
      </w:r>
      <w:r>
        <w:rPr>
          <w:rFonts w:eastAsia="Times New Roman"/>
          <w:sz w:val="28"/>
          <w:szCs w:val="28"/>
        </w:rPr>
        <w:t xml:space="preserve">ьного захисту та підтримки.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69080B">
        <w:rPr>
          <w:rFonts w:eastAsia="Times New Roman"/>
          <w:sz w:val="28"/>
          <w:szCs w:val="28"/>
        </w:rPr>
        <w:t xml:space="preserve">За звітний період отримано </w:t>
      </w:r>
      <w:r>
        <w:rPr>
          <w:rFonts w:eastAsia="Times New Roman"/>
          <w:sz w:val="28"/>
          <w:szCs w:val="28"/>
        </w:rPr>
        <w:t>178</w:t>
      </w:r>
      <w:r w:rsidRPr="00C25801">
        <w:rPr>
          <w:rFonts w:eastAsia="Times New Roman"/>
          <w:sz w:val="28"/>
          <w:szCs w:val="28"/>
        </w:rPr>
        <w:t xml:space="preserve"> звернень</w:t>
      </w:r>
      <w:r w:rsidRPr="0069080B">
        <w:rPr>
          <w:rFonts w:eastAsia="Times New Roman"/>
          <w:sz w:val="28"/>
          <w:szCs w:val="28"/>
        </w:rPr>
        <w:t xml:space="preserve">  від громадян пільгових  кат</w:t>
      </w:r>
      <w:r w:rsidRPr="00C25801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горій, частка яких становить 5,1</w:t>
      </w:r>
      <w:r w:rsidRPr="00C25801">
        <w:rPr>
          <w:rFonts w:eastAsia="Times New Roman"/>
          <w:sz w:val="28"/>
          <w:szCs w:val="28"/>
        </w:rPr>
        <w:t xml:space="preserve"> </w:t>
      </w:r>
      <w:r w:rsidRPr="0069080B">
        <w:rPr>
          <w:rFonts w:eastAsia="Times New Roman"/>
          <w:sz w:val="28"/>
          <w:szCs w:val="28"/>
        </w:rPr>
        <w:t>%   від загально</w:t>
      </w:r>
      <w:r w:rsidRPr="00C25801">
        <w:rPr>
          <w:rFonts w:eastAsia="Times New Roman"/>
          <w:sz w:val="28"/>
          <w:szCs w:val="28"/>
        </w:rPr>
        <w:t>ї кількості звернень</w:t>
      </w:r>
      <w:r w:rsidRPr="0069080B">
        <w:rPr>
          <w:rFonts w:eastAsia="Times New Roman"/>
          <w:sz w:val="28"/>
          <w:szCs w:val="28"/>
        </w:rPr>
        <w:t xml:space="preserve">. </w:t>
      </w:r>
    </w:p>
    <w:p w:rsidR="009E34C2" w:rsidRPr="0069080B" w:rsidRDefault="009E34C2" w:rsidP="009E34C2">
      <w:pPr>
        <w:spacing w:line="360" w:lineRule="auto"/>
        <w:ind w:firstLine="705"/>
        <w:jc w:val="both"/>
        <w:rPr>
          <w:rFonts w:eastAsia="Times New Roman"/>
          <w:sz w:val="28"/>
          <w:szCs w:val="28"/>
        </w:rPr>
      </w:pPr>
      <w:r w:rsidRPr="0069080B">
        <w:rPr>
          <w:rFonts w:eastAsia="Times New Roman"/>
          <w:sz w:val="28"/>
          <w:szCs w:val="28"/>
        </w:rPr>
        <w:t>У порівнянні із аналогічним періодом 20</w:t>
      </w:r>
      <w:r w:rsidRPr="00C25801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4</w:t>
      </w:r>
      <w:r w:rsidRPr="0069080B">
        <w:rPr>
          <w:rFonts w:eastAsia="Times New Roman"/>
          <w:sz w:val="28"/>
          <w:szCs w:val="28"/>
        </w:rPr>
        <w:t xml:space="preserve"> року кількість звернень громадян пільгових категорій </w:t>
      </w:r>
      <w:r>
        <w:rPr>
          <w:rFonts w:eastAsia="Times New Roman"/>
          <w:sz w:val="28"/>
          <w:szCs w:val="28"/>
        </w:rPr>
        <w:t>становила 188</w:t>
      </w:r>
      <w:r w:rsidRPr="00C25801">
        <w:rPr>
          <w:rFonts w:eastAsia="Times New Roman"/>
          <w:sz w:val="28"/>
          <w:szCs w:val="28"/>
        </w:rPr>
        <w:t xml:space="preserve"> звернень,</w:t>
      </w:r>
      <w:r>
        <w:rPr>
          <w:rFonts w:eastAsia="Times New Roman"/>
          <w:sz w:val="28"/>
          <w:szCs w:val="28"/>
        </w:rPr>
        <w:t xml:space="preserve"> що дорівнювало 5,7 </w:t>
      </w:r>
      <w:r w:rsidRPr="00C25801">
        <w:rPr>
          <w:rFonts w:eastAsia="Times New Roman"/>
          <w:sz w:val="28"/>
          <w:szCs w:val="28"/>
        </w:rPr>
        <w:t>% від загальної кількості звернень (Таблиця 4)</w:t>
      </w:r>
      <w:r>
        <w:rPr>
          <w:rFonts w:eastAsia="Times New Roman"/>
          <w:sz w:val="28"/>
          <w:szCs w:val="28"/>
        </w:rPr>
        <w:t>.</w:t>
      </w:r>
    </w:p>
    <w:p w:rsidR="009E34C2" w:rsidRPr="0069080B" w:rsidRDefault="009E34C2" w:rsidP="009E34C2">
      <w:pPr>
        <w:ind w:firstLine="708"/>
        <w:jc w:val="right"/>
        <w:rPr>
          <w:rFonts w:eastAsia="Times New Roman"/>
          <w:sz w:val="28"/>
          <w:szCs w:val="28"/>
        </w:rPr>
      </w:pPr>
      <w:r w:rsidRPr="0069080B">
        <w:rPr>
          <w:rFonts w:eastAsia="Times New Roman"/>
          <w:sz w:val="28"/>
          <w:szCs w:val="28"/>
        </w:rPr>
        <w:t xml:space="preserve">                </w:t>
      </w:r>
    </w:p>
    <w:p w:rsidR="009E34C2" w:rsidRPr="0069080B" w:rsidRDefault="009E34C2" w:rsidP="009E34C2">
      <w:pPr>
        <w:ind w:firstLine="708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Таблиця 4</w:t>
      </w:r>
    </w:p>
    <w:p w:rsidR="009E34C2" w:rsidRPr="0069080B" w:rsidRDefault="009E34C2" w:rsidP="009E34C2">
      <w:pPr>
        <w:ind w:firstLine="708"/>
        <w:jc w:val="right"/>
        <w:rPr>
          <w:rFonts w:eastAsia="Times New Roman"/>
          <w:sz w:val="28"/>
          <w:szCs w:val="28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1281"/>
      </w:tblGrid>
      <w:tr w:rsidR="009E34C2" w:rsidRPr="0069080B" w:rsidTr="008875EA">
        <w:trPr>
          <w:trHeight w:val="597"/>
          <w:jc w:val="center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9080B">
              <w:rPr>
                <w:rFonts w:eastAsia="Times New Roman"/>
                <w:sz w:val="28"/>
                <w:szCs w:val="28"/>
              </w:rPr>
              <w:t xml:space="preserve">Звернення громадян </w:t>
            </w:r>
          </w:p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9080B">
              <w:rPr>
                <w:rFonts w:eastAsia="Times New Roman"/>
                <w:sz w:val="28"/>
                <w:szCs w:val="28"/>
              </w:rPr>
              <w:t>в розрізі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2025</w:t>
            </w:r>
          </w:p>
        </w:tc>
      </w:tr>
      <w:tr w:rsidR="009E34C2" w:rsidRPr="0069080B" w:rsidTr="008875EA">
        <w:trPr>
          <w:trHeight w:val="616"/>
          <w:jc w:val="center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C2" w:rsidRPr="0069080B" w:rsidRDefault="009E34C2" w:rsidP="008875E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9080B">
              <w:rPr>
                <w:rFonts w:eastAsia="Times New Roman"/>
                <w:sz w:val="28"/>
                <w:szCs w:val="28"/>
              </w:rPr>
              <w:t>К-сть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9080B">
              <w:rPr>
                <w:rFonts w:eastAsia="Times New Roman"/>
                <w:sz w:val="28"/>
                <w:szCs w:val="28"/>
              </w:rPr>
              <w:t>К-сть</w:t>
            </w:r>
          </w:p>
        </w:tc>
      </w:tr>
      <w:tr w:rsidR="009E34C2" w:rsidRPr="0069080B" w:rsidTr="008875EA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69080B" w:rsidRDefault="009E34C2" w:rsidP="008875E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Учасники війни та особи з інвалідністю в наслідок війни, учасників бойових дій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73</w:t>
            </w:r>
          </w:p>
        </w:tc>
      </w:tr>
      <w:tr w:rsidR="009E34C2" w:rsidRPr="0069080B" w:rsidTr="008875EA">
        <w:trPr>
          <w:trHeight w:val="40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69080B" w:rsidRDefault="009E34C2" w:rsidP="008875E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Особи з інвалідністю </w:t>
            </w:r>
            <w:r w:rsidRPr="0069080B">
              <w:rPr>
                <w:rFonts w:eastAsia="Times New Roman"/>
                <w:sz w:val="28"/>
                <w:szCs w:val="28"/>
              </w:rPr>
              <w:t>І, ІІ, ІІІ груп, ветерани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</w:t>
            </w:r>
          </w:p>
        </w:tc>
      </w:tr>
      <w:tr w:rsidR="009E34C2" w:rsidRPr="0069080B" w:rsidTr="008875EA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69080B" w:rsidRDefault="009E34C2" w:rsidP="008875EA">
            <w:pPr>
              <w:rPr>
                <w:rFonts w:eastAsia="Times New Roman"/>
                <w:sz w:val="28"/>
                <w:szCs w:val="28"/>
              </w:rPr>
            </w:pPr>
            <w:r w:rsidRPr="0069080B">
              <w:rPr>
                <w:rFonts w:eastAsia="Times New Roman"/>
                <w:sz w:val="28"/>
                <w:szCs w:val="28"/>
              </w:rPr>
              <w:t>Від членів багатодітних сімей, одиноких матерів, матерів-героїнь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</w:tr>
      <w:tr w:rsidR="009E34C2" w:rsidRPr="0069080B" w:rsidTr="008875EA">
        <w:trPr>
          <w:trHeight w:val="70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C2" w:rsidRPr="0069080B" w:rsidRDefault="009E34C2" w:rsidP="008875E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Від учасників ліквідації наслідків аварії на ЧАЕС, та осіб, що потерпіли від Чорнобильської катастрофи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Pr="0069080B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E34C2" w:rsidRPr="0069080B" w:rsidTr="008875EA">
        <w:trPr>
          <w:trHeight w:val="70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C2" w:rsidRDefault="009E34C2" w:rsidP="008875E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178</w:t>
            </w:r>
          </w:p>
        </w:tc>
      </w:tr>
    </w:tbl>
    <w:p w:rsidR="009E34C2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741E5E">
        <w:rPr>
          <w:sz w:val="28"/>
          <w:szCs w:val="28"/>
        </w:rPr>
        <w:t>Особистий прийом громадян керівництвом Деснянської райдержадміністрації  проводиться відповідно до статті 22 Закону України «Про звернення громадян» та гр</w:t>
      </w:r>
      <w:r>
        <w:rPr>
          <w:sz w:val="28"/>
          <w:szCs w:val="28"/>
        </w:rPr>
        <w:t xml:space="preserve">афікам, затвердженими головою. </w:t>
      </w:r>
    </w:p>
    <w:p w:rsidR="009E34C2" w:rsidRPr="00534CE6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741E5E">
        <w:rPr>
          <w:sz w:val="28"/>
          <w:szCs w:val="28"/>
        </w:rPr>
        <w:t>За звітний період керівництвом  Деснянської райдержадміністрації проведено</w:t>
      </w:r>
      <w:r w:rsidRPr="00534CE6">
        <w:rPr>
          <w:sz w:val="28"/>
          <w:szCs w:val="28"/>
        </w:rPr>
        <w:t xml:space="preserve">: </w:t>
      </w:r>
      <w:r>
        <w:rPr>
          <w:sz w:val="28"/>
          <w:szCs w:val="28"/>
        </w:rPr>
        <w:t>74</w:t>
      </w:r>
      <w:r w:rsidRPr="00534CE6">
        <w:rPr>
          <w:sz w:val="28"/>
          <w:szCs w:val="28"/>
        </w:rPr>
        <w:t xml:space="preserve"> особистих прийом</w:t>
      </w:r>
      <w:r>
        <w:rPr>
          <w:sz w:val="28"/>
          <w:szCs w:val="28"/>
        </w:rPr>
        <w:t>и</w:t>
      </w:r>
      <w:r w:rsidRPr="00534CE6">
        <w:rPr>
          <w:sz w:val="28"/>
          <w:szCs w:val="28"/>
        </w:rPr>
        <w:t xml:space="preserve">  громадян, під час яких прийнято </w:t>
      </w:r>
      <w:r>
        <w:rPr>
          <w:sz w:val="28"/>
          <w:szCs w:val="28"/>
        </w:rPr>
        <w:t>127</w:t>
      </w:r>
      <w:r w:rsidRPr="00534CE6">
        <w:rPr>
          <w:sz w:val="28"/>
          <w:szCs w:val="28"/>
        </w:rPr>
        <w:t xml:space="preserve"> громадян  та </w:t>
      </w:r>
      <w:r>
        <w:rPr>
          <w:sz w:val="28"/>
          <w:szCs w:val="28"/>
        </w:rPr>
        <w:t>32</w:t>
      </w:r>
      <w:r w:rsidRPr="00534CE6">
        <w:rPr>
          <w:sz w:val="28"/>
          <w:szCs w:val="28"/>
        </w:rPr>
        <w:t xml:space="preserve"> прямих («гарячих») телефонних ліній, під час яких звернулись </w:t>
      </w:r>
      <w:r w:rsidRPr="00306D5D">
        <w:rPr>
          <w:sz w:val="28"/>
          <w:szCs w:val="28"/>
        </w:rPr>
        <w:t>33  особи</w:t>
      </w:r>
      <w:r>
        <w:rPr>
          <w:sz w:val="28"/>
          <w:szCs w:val="28"/>
        </w:rPr>
        <w:t>, 12 виїзних прийомів під час яких були присутні 19 осіб.</w:t>
      </w:r>
    </w:p>
    <w:p w:rsidR="009E34C2" w:rsidRDefault="009E34C2" w:rsidP="009E34C2">
      <w:pPr>
        <w:spacing w:line="360" w:lineRule="auto"/>
        <w:ind w:firstLine="567"/>
        <w:jc w:val="both"/>
        <w:rPr>
          <w:sz w:val="28"/>
          <w:szCs w:val="28"/>
        </w:rPr>
      </w:pPr>
      <w:r w:rsidRPr="00534CE6">
        <w:rPr>
          <w:sz w:val="28"/>
          <w:szCs w:val="28"/>
        </w:rPr>
        <w:t xml:space="preserve">Особисто головою Деснянської </w:t>
      </w:r>
      <w:r>
        <w:rPr>
          <w:sz w:val="28"/>
          <w:szCs w:val="28"/>
        </w:rPr>
        <w:t>райдержадміністрації проведено 18 особистих прийомів</w:t>
      </w:r>
      <w:r w:rsidRPr="00534C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яких </w:t>
      </w:r>
      <w:r w:rsidRPr="00534CE6">
        <w:rPr>
          <w:sz w:val="28"/>
          <w:szCs w:val="28"/>
        </w:rPr>
        <w:t xml:space="preserve">прийнято </w:t>
      </w:r>
      <w:r>
        <w:rPr>
          <w:sz w:val="28"/>
          <w:szCs w:val="28"/>
        </w:rPr>
        <w:t>71 особу</w:t>
      </w:r>
      <w:r w:rsidRPr="00534CE6">
        <w:rPr>
          <w:sz w:val="28"/>
          <w:szCs w:val="28"/>
        </w:rPr>
        <w:t xml:space="preserve">, проведено </w:t>
      </w:r>
      <w:r>
        <w:rPr>
          <w:sz w:val="28"/>
          <w:szCs w:val="28"/>
        </w:rPr>
        <w:t>23</w:t>
      </w:r>
      <w:r w:rsidRPr="00534CE6">
        <w:rPr>
          <w:sz w:val="28"/>
          <w:szCs w:val="28"/>
        </w:rPr>
        <w:t xml:space="preserve"> прямих («гарячих») телефонних ліній, під час яких звернулись </w:t>
      </w:r>
      <w:r>
        <w:rPr>
          <w:sz w:val="28"/>
          <w:szCs w:val="28"/>
        </w:rPr>
        <w:t>24</w:t>
      </w:r>
      <w:r w:rsidRPr="00534CE6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 та 5 виїзних прийомів, під час яких були присутні 12 громадян.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741E5E">
        <w:rPr>
          <w:sz w:val="28"/>
          <w:szCs w:val="28"/>
        </w:rPr>
        <w:t xml:space="preserve">Згідно з затвердженим  Графіком звітування  щодо організації роботи із зверненнями громадян структурними підрозділами Деснянської райдержадміністрації та комунальними підприємствами, установами, </w:t>
      </w:r>
      <w:r w:rsidRPr="003345A0">
        <w:rPr>
          <w:sz w:val="28"/>
          <w:szCs w:val="28"/>
        </w:rPr>
        <w:t>організаціями, віднесеними до сфери управління адміністрації, у 2025 році, відповідно до Указу Президента України від 07.02.2008 № 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перед головою Деснянської райдержадміністрації прозвітували:</w:t>
      </w:r>
    </w:p>
    <w:p w:rsidR="009E34C2" w:rsidRPr="00E276EB" w:rsidRDefault="009E34C2" w:rsidP="009E34C2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E276EB">
        <w:rPr>
          <w:sz w:val="28"/>
          <w:szCs w:val="28"/>
        </w:rPr>
        <w:t>Управління культури Деснянської районної в місті Києві державної адміністрації</w:t>
      </w:r>
    </w:p>
    <w:p w:rsidR="009E34C2" w:rsidRPr="00E276EB" w:rsidRDefault="009E34C2" w:rsidP="009E34C2">
      <w:pPr>
        <w:pStyle w:val="a4"/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E276EB">
        <w:rPr>
          <w:sz w:val="28"/>
          <w:szCs w:val="28"/>
        </w:rPr>
        <w:t>Служба у справах дітей та сім</w:t>
      </w:r>
      <w:r w:rsidRPr="00E276EB">
        <w:rPr>
          <w:rFonts w:ascii="Calibri" w:hAnsi="Calibri"/>
          <w:sz w:val="28"/>
          <w:szCs w:val="28"/>
        </w:rPr>
        <w:t>'</w:t>
      </w:r>
      <w:r w:rsidRPr="00E276EB">
        <w:rPr>
          <w:sz w:val="28"/>
          <w:szCs w:val="28"/>
        </w:rPr>
        <w:t>ї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lastRenderedPageBreak/>
        <w:t>Управління соціальної та ветеранської політики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 Управління житлово-комунального господарства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 Комунальне підприємство «Керуюча компанія з обслуговування житлового фонду Деснянського району м. Києва»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 Управління (Центр) надання адміністративних послуг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jc w:val="both"/>
        <w:rPr>
          <w:sz w:val="28"/>
          <w:szCs w:val="28"/>
        </w:rPr>
      </w:pPr>
      <w:r w:rsidRPr="003345A0">
        <w:rPr>
          <w:sz w:val="28"/>
          <w:szCs w:val="28"/>
        </w:rPr>
        <w:tab/>
        <w:t>-Управління будівництва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-Управління молоді та спорту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-Управління освіти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-Управління благоустрою та підприємництва Деснянської районної в місті Києві державної адміністрації.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Також, відповідно до затвердженого графіка Перевірок щодо організації роботи із зверненнями громадян структурними підрозділами Деснянської РДА, за період з 01.01.2025 по 31.12.2025 року, працівниками відділу з питань звернень громадян були проведені перевірки в наступних підрозділах: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 Управління (Центр) надання адміністративних послуг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 Управління житлово-комунального господарства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45A0">
        <w:rPr>
          <w:sz w:val="28"/>
          <w:szCs w:val="28"/>
        </w:rPr>
        <w:t>Управління соціальної та ветеранської політики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45A0">
        <w:rPr>
          <w:sz w:val="28"/>
          <w:szCs w:val="28"/>
        </w:rPr>
        <w:t>Служба у справах дітей та сім</w:t>
      </w:r>
      <w:r w:rsidRPr="003345A0">
        <w:rPr>
          <w:rFonts w:ascii="Calibri" w:hAnsi="Calibri"/>
          <w:sz w:val="28"/>
          <w:szCs w:val="28"/>
        </w:rPr>
        <w:t>'</w:t>
      </w:r>
      <w:r w:rsidRPr="003345A0">
        <w:rPr>
          <w:sz w:val="28"/>
          <w:szCs w:val="28"/>
        </w:rPr>
        <w:t>ї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345A0">
        <w:rPr>
          <w:sz w:val="28"/>
          <w:szCs w:val="28"/>
        </w:rPr>
        <w:t>Управління молоді та спорту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 w:rsidRPr="003345A0">
        <w:rPr>
          <w:sz w:val="28"/>
          <w:szCs w:val="28"/>
        </w:rPr>
        <w:lastRenderedPageBreak/>
        <w:t xml:space="preserve">-Управління будівництва Деснянської районної в місті Києві державної адміністрації 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45A0">
        <w:rPr>
          <w:sz w:val="28"/>
          <w:szCs w:val="28"/>
        </w:rPr>
        <w:t>Управління культури Деснянської районної в місті Києві державної адміністрації</w:t>
      </w:r>
    </w:p>
    <w:p w:rsidR="009E34C2" w:rsidRPr="003345A0" w:rsidRDefault="009E34C2" w:rsidP="009E34C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45A0">
        <w:rPr>
          <w:sz w:val="28"/>
          <w:szCs w:val="28"/>
        </w:rPr>
        <w:t>Комунальне підприємство «Керуюча компанія з обслуговування житлового фонду Деснянського району м. Києва»</w:t>
      </w:r>
    </w:p>
    <w:p w:rsidR="009E34C2" w:rsidRPr="003345A0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-Управління освіти Деснянської районної в місті Києві державної адміністрації</w:t>
      </w:r>
    </w:p>
    <w:p w:rsidR="009E34C2" w:rsidRPr="00E276EB" w:rsidRDefault="009E34C2" w:rsidP="009E34C2">
      <w:pPr>
        <w:spacing w:line="360" w:lineRule="auto"/>
        <w:ind w:firstLine="540"/>
        <w:jc w:val="both"/>
        <w:rPr>
          <w:sz w:val="28"/>
          <w:szCs w:val="28"/>
        </w:rPr>
      </w:pPr>
      <w:r w:rsidRPr="003345A0">
        <w:rPr>
          <w:sz w:val="28"/>
          <w:szCs w:val="28"/>
        </w:rPr>
        <w:t>-Управління благоустрою та підприємництва Деснянської районної в місті Києві державної адміністрації.</w:t>
      </w:r>
    </w:p>
    <w:p w:rsidR="009E34C2" w:rsidRDefault="009E34C2" w:rsidP="009E34C2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Під час перевірок</w:t>
      </w:r>
      <w:r w:rsidRPr="00A45406">
        <w:rPr>
          <w:rFonts w:eastAsia="Times New Roman"/>
          <w:sz w:val="28"/>
          <w:szCs w:val="28"/>
        </w:rPr>
        <w:t xml:space="preserve"> було зосереджено увагу на</w:t>
      </w:r>
      <w:r>
        <w:rPr>
          <w:rFonts w:eastAsia="Times New Roman"/>
          <w:sz w:val="28"/>
          <w:szCs w:val="28"/>
        </w:rPr>
        <w:t xml:space="preserve">  організацію роботи із зверненнями</w:t>
      </w:r>
      <w:r w:rsidRPr="00A45406">
        <w:rPr>
          <w:rFonts w:eastAsia="Times New Roman"/>
          <w:sz w:val="28"/>
          <w:szCs w:val="28"/>
        </w:rPr>
        <w:t xml:space="preserve"> громадян у структурному підрозділі,  проведенням особистих прийомів керівництвом,  вчасності надан</w:t>
      </w:r>
      <w:r>
        <w:rPr>
          <w:rFonts w:eastAsia="Times New Roman"/>
          <w:sz w:val="28"/>
          <w:szCs w:val="28"/>
        </w:rPr>
        <w:t>ня відповідей заявникам по суті</w:t>
      </w:r>
      <w:r w:rsidRPr="00A45406">
        <w:rPr>
          <w:rFonts w:eastAsia="Times New Roman"/>
          <w:sz w:val="28"/>
          <w:szCs w:val="28"/>
        </w:rPr>
        <w:t xml:space="preserve">. </w:t>
      </w:r>
    </w:p>
    <w:p w:rsidR="009E34C2" w:rsidRPr="00A45406" w:rsidRDefault="009E34C2" w:rsidP="009E34C2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A45406">
        <w:rPr>
          <w:rFonts w:eastAsia="Times New Roman"/>
          <w:sz w:val="28"/>
          <w:szCs w:val="28"/>
        </w:rPr>
        <w:t xml:space="preserve">За результатами  перевірок були надані методичні рекомендації керівникам установ, пропозиції щодо удосконалення роботи із зверненнями громадян. </w:t>
      </w:r>
    </w:p>
    <w:p w:rsidR="00423CC3" w:rsidRDefault="00423CC3">
      <w:bookmarkStart w:id="0" w:name="_GoBack"/>
      <w:bookmarkEnd w:id="0"/>
    </w:p>
    <w:sectPr w:rsidR="00423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12605"/>
    <w:multiLevelType w:val="hybridMultilevel"/>
    <w:tmpl w:val="4C34C30E"/>
    <w:lvl w:ilvl="0" w:tplc="E902A4A8">
      <w:start w:val="3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D7"/>
    <w:rsid w:val="000C47D7"/>
    <w:rsid w:val="00423CC3"/>
    <w:rsid w:val="009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EE6A-99B7-4225-8771-432E40F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4C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4C2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3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34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zg_desn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7461</Words>
  <Characters>4254</Characters>
  <Application>Microsoft Office Word</Application>
  <DocSecurity>0</DocSecurity>
  <Lines>35</Lines>
  <Paragraphs>23</Paragraphs>
  <ScaleCrop>false</ScaleCrop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Василівна Тимофєєва</dc:creator>
  <cp:keywords/>
  <dc:description/>
  <cp:lastModifiedBy>Марія Василівна Тимофєєва</cp:lastModifiedBy>
  <cp:revision>3</cp:revision>
  <dcterms:created xsi:type="dcterms:W3CDTF">2026-01-28T09:53:00Z</dcterms:created>
  <dcterms:modified xsi:type="dcterms:W3CDTF">2026-01-28T09:55:00Z</dcterms:modified>
</cp:coreProperties>
</file>