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13"/>
        <w:gridCol w:w="3742"/>
      </w:tblGrid>
      <w:tr w:rsidR="00C5472A" w:rsidRPr="009628B9" w:rsidTr="009628B9">
        <w:tc>
          <w:tcPr>
            <w:tcW w:w="9361" w:type="dxa"/>
            <w:gridSpan w:val="2"/>
            <w:hideMark/>
          </w:tcPr>
          <w:p w:rsidR="00C5472A" w:rsidRPr="009628B9" w:rsidRDefault="00C5472A" w:rsidP="00C5472A">
            <w:pPr>
              <w:spacing w:before="30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28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drawing>
                <wp:inline distT="0" distB="0" distL="0" distR="0">
                  <wp:extent cx="571500" cy="762000"/>
                  <wp:effectExtent l="19050" t="0" r="0" b="0"/>
                  <wp:docPr id="3" name="Рисунок 3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72A" w:rsidRPr="009628B9" w:rsidTr="009628B9">
        <w:tc>
          <w:tcPr>
            <w:tcW w:w="9361" w:type="dxa"/>
            <w:gridSpan w:val="2"/>
            <w:hideMark/>
          </w:tcPr>
          <w:p w:rsidR="00C5472A" w:rsidRPr="009628B9" w:rsidRDefault="00C5472A" w:rsidP="00C547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uk-UA" w:eastAsia="ru-RU"/>
              </w:rPr>
              <w:t>МІНІСТЕРСТВО РЕГІОНАЛЬНОГО РОЗВИТКУ, БУДІВНИЦТВА ТА ЖИТЛОВО-КОМУНАЛЬНОГО ГОСПОДАРСТВА УКРАЇНИ</w:t>
            </w:r>
          </w:p>
        </w:tc>
      </w:tr>
      <w:tr w:rsidR="00C5472A" w:rsidRPr="009628B9" w:rsidTr="009628B9">
        <w:tc>
          <w:tcPr>
            <w:tcW w:w="9361" w:type="dxa"/>
            <w:gridSpan w:val="2"/>
            <w:hideMark/>
          </w:tcPr>
          <w:p w:rsidR="00C5472A" w:rsidRPr="009628B9" w:rsidRDefault="00C5472A" w:rsidP="00C547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uk-UA" w:eastAsia="ru-RU"/>
              </w:rPr>
              <w:t>НАКАЗ</w:t>
            </w:r>
          </w:p>
        </w:tc>
      </w:tr>
      <w:tr w:rsidR="00C5472A" w:rsidRPr="009628B9" w:rsidTr="009628B9">
        <w:tc>
          <w:tcPr>
            <w:tcW w:w="9361" w:type="dxa"/>
            <w:gridSpan w:val="2"/>
            <w:hideMark/>
          </w:tcPr>
          <w:p w:rsidR="00C5472A" w:rsidRPr="009628B9" w:rsidRDefault="00C5472A" w:rsidP="00C5472A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24.04.2015  № 79</w:t>
            </w:r>
          </w:p>
        </w:tc>
      </w:tr>
      <w:tr w:rsidR="00C5472A" w:rsidRPr="009628B9" w:rsidTr="009628B9">
        <w:tc>
          <w:tcPr>
            <w:tcW w:w="5617" w:type="dxa"/>
            <w:hideMark/>
          </w:tcPr>
          <w:p w:rsidR="00C5472A" w:rsidRPr="009628B9" w:rsidRDefault="00C5472A" w:rsidP="00C547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n3"/>
            <w:bookmarkEnd w:id="0"/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3744" w:type="dxa"/>
            <w:hideMark/>
          </w:tcPr>
          <w:p w:rsidR="00C5472A" w:rsidRPr="009628B9" w:rsidRDefault="00C5472A" w:rsidP="00C547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Зареєстровано в Міністерстві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юстиції України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 травня 2015 р.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 № 547/26992</w:t>
            </w:r>
          </w:p>
        </w:tc>
      </w:tr>
    </w:tbl>
    <w:p w:rsidR="00C5472A" w:rsidRPr="009628B9" w:rsidRDefault="00C5472A" w:rsidP="00C5472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" w:name="n4"/>
      <w:bookmarkEnd w:id="1"/>
      <w:r w:rsidRPr="009628B9">
        <w:rPr>
          <w:rFonts w:ascii="Times New Roman" w:eastAsia="Times New Roman" w:hAnsi="Times New Roman" w:cs="Times New Roman"/>
          <w:b/>
          <w:bCs/>
          <w:color w:val="000000"/>
          <w:sz w:val="32"/>
          <w:lang w:val="uk-UA" w:eastAsia="ru-RU"/>
        </w:rPr>
        <w:t>Про затвердження Порядку прийняття в експлуатацію і проведення технічного обстеження індивідуальних (садибних) житлових будинків, садових, дачних будинків, господарських (присадибних) будівель і споруд, громадських будинків та будівель і споруд сільськогосподарського призначення I та II категорій складності, які збудовані без дозволу на виконання будівельних робіт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" w:name="n5"/>
      <w:bookmarkEnd w:id="2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Відповідно до </w:t>
      </w:r>
      <w:hyperlink r:id="rId6" w:anchor="n5" w:tgtFrame="_blank" w:history="1">
        <w:r w:rsidRPr="009628B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ru-RU"/>
          </w:rPr>
          <w:t>розділу I</w:t>
        </w:r>
      </w:hyperlink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Закону України від 13 січня 2015 року № 92-VІІI «Про внесення зміни до Закону України «Про регулювання містобудівної діяльності» щодо прийняття в експлуатацію об’єктів будівництва, збудованих без дозволу на виконання будівельних робіт»</w:t>
      </w:r>
      <w:r w:rsidRPr="009628B9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val="uk-UA" w:eastAsia="ru-RU"/>
        </w:rPr>
        <w:t>НАКАЗУЮ: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3" w:name="n6"/>
      <w:bookmarkEnd w:id="3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 Затвердити </w:t>
      </w:r>
      <w:hyperlink r:id="rId7" w:anchor="n14" w:history="1">
        <w:r w:rsidRPr="009628B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 w:eastAsia="ru-RU"/>
          </w:rPr>
          <w:t>Порядок прийняття в експлуатацію і проведення технічного обстеження індивідуальних (садибних) житлових будинків, садових, дачних будинків, господарських (присадибних) будівель і споруд, громадських будинків та будівель і споруд сільськогосподарського призначення I та II категорій складності, які збудовані без дозволу на виконання будівельних робіт</w:t>
        </w:r>
      </w:hyperlink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що додається.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4" w:name="n7"/>
      <w:bookmarkEnd w:id="4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Визнати таким, що втратив чинність, </w:t>
      </w:r>
      <w:hyperlink r:id="rId8" w:tgtFrame="_blank" w:history="1">
        <w:r w:rsidRPr="009628B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ru-RU"/>
          </w:rPr>
          <w:t>наказ Міністерства регіонального розвитку, будівництва та житлово-комунального господарства України від 19 березня 2013 року № 95</w:t>
        </w:r>
      </w:hyperlink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 затвердження Порядку прийняття в експлуатацію індивідуальних (садибних) житлових будинків, садових, дачних будинків, господарських (присадибних) будівель і споруд, прибудов до них, громадських будинків та будівель і споруд сільськогосподарського призначення I та II категорій складності, які збудовані без дозволу на виконання будівельних робіт, і проведення технічного обстеження їх будівельних конструкцій та інженерних мереж», зареєстрований у Міністерстві юстиції України 15 квітня 2013 року за № 612/23144.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5" w:name="n8"/>
      <w:bookmarkEnd w:id="5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Департаменту державних програм та розвитку житлового будівництва (Денисюк І.П.), Департаменту нормативно-правового регулювання (Малашкін М.А.) разом з Державною архітектурно-будівельною інспекцією України (Драч С.В.) в установленому законодавством порядку забезпечити подання цього наказу на державну реєстрацію до Міністерства юстиції України.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6" w:name="n9"/>
      <w:bookmarkEnd w:id="6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Цей наказ набирає чинності з дня його офіційного опублікування.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7" w:name="n10"/>
      <w:bookmarkEnd w:id="7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Контроль за виконанням цього наказу покласти на заступника Міністра Абрамовського Р.Р.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29"/>
        <w:gridCol w:w="5426"/>
      </w:tblGrid>
      <w:tr w:rsidR="00C5472A" w:rsidRPr="009628B9" w:rsidTr="009628B9">
        <w:tc>
          <w:tcPr>
            <w:tcW w:w="2100" w:type="pct"/>
            <w:hideMark/>
          </w:tcPr>
          <w:p w:rsidR="00C5472A" w:rsidRPr="009628B9" w:rsidRDefault="00C5472A" w:rsidP="00C547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8" w:name="n11"/>
            <w:bookmarkEnd w:id="8"/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Перший заступник Міністра</w:t>
            </w:r>
          </w:p>
        </w:tc>
        <w:tc>
          <w:tcPr>
            <w:tcW w:w="3500" w:type="pct"/>
            <w:hideMark/>
          </w:tcPr>
          <w:p w:rsidR="00C5472A" w:rsidRPr="009628B9" w:rsidRDefault="00C5472A" w:rsidP="00C5472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В.Є. Кістіон</w:t>
            </w:r>
          </w:p>
        </w:tc>
      </w:tr>
    </w:tbl>
    <w:p w:rsidR="00C5472A" w:rsidRPr="009628B9" w:rsidRDefault="0056521D" w:rsidP="00C5472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9" w:name="n88"/>
      <w:bookmarkEnd w:id="9"/>
      <w:r w:rsidRPr="009628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13"/>
        <w:gridCol w:w="3742"/>
      </w:tblGrid>
      <w:tr w:rsidR="00C5472A" w:rsidRPr="009628B9" w:rsidTr="009628B9">
        <w:tc>
          <w:tcPr>
            <w:tcW w:w="3000" w:type="pct"/>
            <w:hideMark/>
          </w:tcPr>
          <w:p w:rsidR="00C5472A" w:rsidRPr="009628B9" w:rsidRDefault="00C5472A" w:rsidP="00C547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0" w:name="n12"/>
            <w:bookmarkEnd w:id="10"/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2000" w:type="pct"/>
            <w:hideMark/>
          </w:tcPr>
          <w:p w:rsidR="00C5472A" w:rsidRPr="009628B9" w:rsidRDefault="00C5472A" w:rsidP="00C547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ЗАТВЕРДЖЕНО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Наказ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Міністерства регіонального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розвитку, будівництва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та житлово-комунального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господарства України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24.04.2015  № 79</w:t>
            </w:r>
          </w:p>
        </w:tc>
      </w:tr>
      <w:tr w:rsidR="00C5472A" w:rsidRPr="009628B9" w:rsidTr="009628B9">
        <w:tc>
          <w:tcPr>
            <w:tcW w:w="3000" w:type="pct"/>
            <w:hideMark/>
          </w:tcPr>
          <w:p w:rsidR="00C5472A" w:rsidRPr="009628B9" w:rsidRDefault="00C5472A" w:rsidP="00C547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1" w:name="n13"/>
            <w:bookmarkEnd w:id="11"/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2000" w:type="pct"/>
            <w:hideMark/>
          </w:tcPr>
          <w:p w:rsidR="00C5472A" w:rsidRPr="009628B9" w:rsidRDefault="00C5472A" w:rsidP="00C547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Зареєстровано в Міністерстві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юстиції України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 травня 2015 р.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 № 547/26992</w:t>
            </w:r>
          </w:p>
        </w:tc>
      </w:tr>
    </w:tbl>
    <w:p w:rsidR="00C5472A" w:rsidRPr="009628B9" w:rsidRDefault="00C5472A" w:rsidP="00C5472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2" w:name="n14"/>
      <w:bookmarkEnd w:id="12"/>
      <w:r w:rsidRPr="009628B9">
        <w:rPr>
          <w:rFonts w:ascii="Times New Roman" w:eastAsia="Times New Roman" w:hAnsi="Times New Roman" w:cs="Times New Roman"/>
          <w:b/>
          <w:bCs/>
          <w:color w:val="000000"/>
          <w:sz w:val="32"/>
          <w:lang w:val="uk-UA" w:eastAsia="ru-RU"/>
        </w:rPr>
        <w:t>ПОРЯДОК </w:t>
      </w:r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9628B9">
        <w:rPr>
          <w:rFonts w:ascii="Times New Roman" w:eastAsia="Times New Roman" w:hAnsi="Times New Roman" w:cs="Times New Roman"/>
          <w:b/>
          <w:bCs/>
          <w:color w:val="000000"/>
          <w:sz w:val="32"/>
          <w:lang w:val="uk-UA" w:eastAsia="ru-RU"/>
        </w:rPr>
        <w:t>прийняття в експлуатацію і проведення технічного обстеження індивідуальних (садибних) житлових будинків, садових, дачних будинків, господарських (присадибних) будівель і споруд, громадських будинків та будівель і споруд сільськогосподарського призначення I та II категорій складності, які збудовані без дозволу на виконання будівельних робіт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3" w:name="n15"/>
      <w:bookmarkEnd w:id="13"/>
      <w:r w:rsidRPr="009628B9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І. Загальні положення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4" w:name="n16"/>
      <w:bookmarkEnd w:id="14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 Цей Порядок встановлює процедуру та умови прийняття в експлуатацію збудованих без дозволу на виконання будівельних робіт і проведення технічного обстеження: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5" w:name="n17"/>
      <w:bookmarkEnd w:id="15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індивідуальних (садибних) житлових будинків, садових, дачних будинків, господарських (присадибних) будівель і споруд, збудованих у період з 05 серпня 1992 року до 12 березня 2011 року;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6" w:name="n18"/>
      <w:bookmarkEnd w:id="16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збудованих у період до 12 березня 2011 року: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7" w:name="n19"/>
      <w:bookmarkEnd w:id="17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громадських будинків I і II категорій складності;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8" w:name="n20"/>
      <w:bookmarkEnd w:id="18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будівель і споруд сільськогосподарського призначення I і II категорій складності (далі - об’єкти).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9" w:name="n21"/>
      <w:bookmarkEnd w:id="19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У цьому Порядку терміни вживаються в таких значеннях: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0" w:name="n22"/>
      <w:bookmarkEnd w:id="20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господарські (присадибні) будівлі - допоміжні (нежитлові) приміщення, до яких належать сараї, хліви, гаражі, літні кухні, майстерні, вбиральні, погреби, навіси, котельні, бойлерні, трансформаторні підстанції тощо та прибудови до них;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1" w:name="n23"/>
      <w:bookmarkEnd w:id="21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господарські (присадибні) споруди - земельні поліпшення, що не належать до будівель та приміщень, призначені для виконання спеціальних технічних функцій, до яких належать колодязі, вигрібні ями, огорожі, ворота, хвіртки, замощення тощо та прибудови до них;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2" w:name="n24"/>
      <w:bookmarkEnd w:id="22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дачний будинок - будинок, який використовується протягом року з метою позаміського відпочинку, та прибудова до нього;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3" w:name="n25"/>
      <w:bookmarkEnd w:id="23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замовник - особа, що має право власності чи право користування земельною ділянкою, на якій розміщено об’єкт, та подала в установленому законодавством порядку відповідну заяву;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4" w:name="n26"/>
      <w:bookmarkEnd w:id="24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індивідуальний (садибний) житловий будинок - будівля капітального типу, споруджена з дотриманням вимог, установлених законом, іншими нормативно-правовими актами, поверховість якої не повинна перевищувати чотирьох поверхів, призначена для постійного в ній проживання, яка складається із житлових та допоміжних (нежитлових) приміщень, і прибудова до неї;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5" w:name="n27"/>
      <w:bookmarkEnd w:id="25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садовий будинок - будинок для літнього використання та прибудова до нього;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6" w:name="n28"/>
      <w:bookmarkEnd w:id="26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технічне обстеження - комплекс заходів, спрямованих на встановлення технічного стану будівельних конструкцій та інженерних мереж об’єкта з метою визначення можливості або неможливості його надійної та безпечної експлуатації.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7" w:name="n29"/>
      <w:bookmarkEnd w:id="27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Громадські будинки та будівлі і споруди сільськогосподарського призначення, які належать до I та II категорій складності, визначаються відповідно до будівельних норм, державних стандартів і правил.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8" w:name="n30"/>
      <w:bookmarkEnd w:id="28"/>
      <w:r w:rsidRPr="009628B9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II. Проведення технічного обстеження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9" w:name="n31"/>
      <w:bookmarkEnd w:id="29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 Технічне обстеження об’єктів проводиться відповідно до цього Порядку з урахуванням вимог законодавства у сфері містобудівної діяльності, будівельних норм, державних стандартів і правил, а також особливостей, передбачених пунктом 6 цього розділу.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30" w:name="n32"/>
      <w:bookmarkEnd w:id="30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Технічне обстеження проводиться суб’єктом господарювання, який має у своєму складі відповідних виконавців, що згідно із </w:t>
      </w:r>
      <w:hyperlink r:id="rId9" w:tgtFrame="_blank" w:history="1">
        <w:r w:rsidRPr="009628B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ru-RU"/>
          </w:rPr>
          <w:t>Законом України</w:t>
        </w:r>
      </w:hyperlink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«Про архітектурну діяльність» одержали кваліфікаційний сертифікат, або фізичною особою - підприємцем, яка згідно із цим Законом має кваліфікаційний сертифікат (далі - виконавці).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31" w:name="n33"/>
      <w:bookmarkEnd w:id="31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Технічне обстеження включає такі етапи: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32" w:name="n34"/>
      <w:bookmarkEnd w:id="32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попереднє (візуальне) обстеження об’єкта, у тому числі огляд і фотографування об’єкта та його конструктивних елементів, виконання обмірів, визначення категорії складності об’єкта, аналіз проектної та іншої технічної документації (за наявності);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33" w:name="n35"/>
      <w:bookmarkEnd w:id="33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детальне (інструментальне) обстеження об’єкта, у тому числі визначення параметрів і характеристик матеріалів, виробів та конструкцій, із залученням фахівців відповідної спеціалізації та атестованих лабораторій (за необхідності).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34" w:name="n36"/>
      <w:bookmarkEnd w:id="34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Якщо етапи технічного обстеження об’єкта, що проводилось, не збігаються з названими етапами, зазначаються фактично пройдені етапи технічного обстеження.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35" w:name="n37"/>
      <w:bookmarkEnd w:id="35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Не дозволяється проведення технічного обстеження виключно за фотографіями, відеозаписами, кресленнями чи іншими документами без візуального огляду об’єкта.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36" w:name="n38"/>
      <w:bookmarkEnd w:id="36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На підставі інформації, отриманої під час технічного обстеження, з урахуванням виду, складності, технічних та інших особливостей об’єкта, проведених заходів, передбачених пунктом 3 цього розділу, а також даних технічного паспорта, проектної та іншої технічної документації на об’єкт (за наявності) виконавець проводить оцінку технічного стану об’єкта та складає звіт про проведення технічного обстеження за формою, наведеною в </w:t>
      </w:r>
      <w:hyperlink r:id="rId10" w:anchor="n83" w:history="1">
        <w:r w:rsidRPr="009628B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 w:eastAsia="ru-RU"/>
          </w:rPr>
          <w:t>додатку 1</w:t>
        </w:r>
      </w:hyperlink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до цього Порядку.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37" w:name="n39"/>
      <w:bookmarkEnd w:id="37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Пронумерований, прошнурований звіт підписується та скріплюється особистою печаткою виконавця (за наявності) і затверджується суб’єктом господарювання, який проводив технічне обстеження (для юридичних осіб).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38" w:name="n40"/>
      <w:bookmarkEnd w:id="38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6. Технічне обстеження індивідуальних (садибних) житлових будинків, садових, дачних будинків загальною площею до 300 квадратних метрів включно, а також господарських (присадибних) будівель і споруд загальною площею до 100 квадратних метрів включно проводиться виконавцем (експертом (інженером) з технічної інвентаризації) під час їх технічної інвентаризації лише за результатами попереднього (візуального) етапу обстеження з проставлянням у технічному паспорті відмітки за формою, наведеною в </w:t>
      </w:r>
      <w:hyperlink r:id="rId11" w:anchor="n85" w:history="1">
        <w:r w:rsidRPr="009628B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 w:eastAsia="ru-RU"/>
          </w:rPr>
          <w:t>додатку 2</w:t>
        </w:r>
      </w:hyperlink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до цього Порядку.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39" w:name="n41"/>
      <w:bookmarkEnd w:id="39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Відмітка про проведене технічне обстеження проставляється у технічному паспорті на схематичному плані земельної ділянки.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40" w:name="n42"/>
      <w:bookmarkEnd w:id="40"/>
      <w:r w:rsidRPr="009628B9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III. Прийняття в експлуатацію об’єктів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41" w:name="n43"/>
      <w:bookmarkEnd w:id="41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 Прийняття в експлуатацію об’єктів здійснюється безоплатно органом державного архітектурно-будівельного контролю протягом 10 робочих днів з дня подання заяви власниками (користувачами) земельних ділянок, на яких розміщені такі об’єкти, за результатами технічного обстеження цих об’єктів шляхом реєстрації декларації про готовність об’єкта до експлуатації (далі - декларація), яка складається за формою, наведеною в </w:t>
      </w:r>
      <w:hyperlink r:id="rId12" w:anchor="n87" w:history="1">
        <w:r w:rsidRPr="009628B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 w:eastAsia="ru-RU"/>
          </w:rPr>
          <w:t>додатку 3</w:t>
        </w:r>
      </w:hyperlink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до цього Порядку.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42" w:name="n44"/>
      <w:bookmarkEnd w:id="42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Об’єкт не може бути прийнятий в експлуатацію згідно з цим Порядком у разі наявності відхилень від вимог державних будівельних норм, визначених такими нормами як недопустимі (заборонені).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43" w:name="n45"/>
      <w:bookmarkEnd w:id="43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Замовник або його уповноважена особа подає з урахуванням вимог </w:t>
      </w:r>
      <w:hyperlink r:id="rId13" w:tgtFrame="_blank" w:history="1">
        <w:r w:rsidRPr="009628B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ru-RU"/>
          </w:rPr>
          <w:t>Закону України</w:t>
        </w:r>
      </w:hyperlink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«Про адміністративні послуги» до органу державного архітектурно-будівельного контролю за місцезнаходженням об’єкта заяву про прийняття в експлуатацію об’єкта, до якої додаються: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44" w:name="n46"/>
      <w:bookmarkEnd w:id="44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два примірники заповненої декларації;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45" w:name="n47"/>
      <w:bookmarkEnd w:id="45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звіт про проведення технічного обстеження об’єкта з інформацією щодо можливості його надійної та безпечної експлуатації (крім індивідуальних (садибних) житлових будинків, садових, дачних будинків загальною площею до 300 квадратних метрів включно, господарських (присадибних) будівель і споруд загальною площею до 100 квадратних метрів включно);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46" w:name="n48"/>
      <w:bookmarkEnd w:id="46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засвідчені в установленому порядку копії: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47" w:name="n49"/>
      <w:bookmarkEnd w:id="47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документа, що посвідчує право власності чи користування земельною ділянкою, на якій розміщено об’єкт;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48" w:name="n50"/>
      <w:bookmarkEnd w:id="48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технічного паспорта (з відміткою про проведене технічне обстеження у випадках, передбачених пунктом 6 розділу II цього Порядку).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49" w:name="n51"/>
      <w:bookmarkEnd w:id="49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Звіти про проведення технічного обстеження будівельних конструкцій та інженерних мереж об’єкта, складені в період з 29 квітня 2013 року до дня набрання чинності цим Порядком, подаються разом з інформацією, отриманою виконавцем від місцевого органу містобудування та архітектури, щодо відповідності місця розташування об’єкта вимогам державних будівельних норм.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50" w:name="n52"/>
      <w:bookmarkEnd w:id="50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Технічні паспорти, складені до набрання чинності цим Порядком, щодо індивідуальних (садибних) житлових будинків, садових, дачних будинків загальною площею до 300 квадратних метрів включно, а також господарських (присадибних) будівель і споруд загальною площею до 100 квадратних метрів включно подаються за умови проставляння в них відмітки про проведення їх технічного обстеження за формою, наведеною в </w:t>
      </w:r>
      <w:hyperlink r:id="rId14" w:anchor="n85" w:history="1">
        <w:r w:rsidRPr="009628B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 w:eastAsia="ru-RU"/>
          </w:rPr>
          <w:t>додатку 2</w:t>
        </w:r>
      </w:hyperlink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до цього Порядку.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51" w:name="n53"/>
      <w:bookmarkEnd w:id="51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Заява про прийняття в експлуатацію об’єкта підписується також співвласниками земельної ділянки та зазначеного об’єкта (у разі їх наявності).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52" w:name="n54"/>
      <w:bookmarkEnd w:id="52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Орган державного архітектурно-будівельного контролю розглядає документи, зазначені в пункті 2 цього розділу, та приймає рішення про реєстрацію декларації або її повернення у строк, передбачений пунктом 1 цього розділу.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53" w:name="n55"/>
      <w:bookmarkEnd w:id="53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Дані, зазначені в декларації, повинні узгоджуватися з документами, які подаються разом з нею.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54" w:name="n56"/>
      <w:bookmarkEnd w:id="54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Замовник є відповідальним за повноту та достовірність даних, зазначених у поданій ним декларації, відповідно до закону.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55" w:name="n57"/>
      <w:bookmarkEnd w:id="55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Орган державного архітектурно-будівельного контролю повертає замовнику декларацію на доопрацювання з обґрунтуванням причин, якщо вона подана чи оформлена з порушенням вимог, установлених цим Порядком, у тому числі у разі виявлення невідповідності поданих документів вимогам законодавства, виявлення недостовірних відомостей у поданих документах.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56" w:name="n58"/>
      <w:bookmarkEnd w:id="56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Документи, які було додано замовником до заяви, зберігаються в органі державного архітектурно-будівельного контролю.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57" w:name="n59"/>
      <w:bookmarkEnd w:id="57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6. У разі прийняття рішення про повернення декларації орган державного архітектурно-будівельного контролю у строк, передбачений для її реєстрації, надсилає замовнику письмове повідомлення про прийняте рішення з обґрунтуванням причин повернення та документи, які потребують доопрацювання.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58" w:name="n60"/>
      <w:bookmarkEnd w:id="58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7. Після усунення недоліків, що стали підставою для прийняття рішення про повернення декларації, замовник може повторно подати до органу державного архітектурно-будівельного контролю документи згідно з цим Порядком.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59" w:name="n61"/>
      <w:bookmarkEnd w:id="59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8. До власників (користувачів) земельних ділянок, які відповідно до </w:t>
      </w:r>
      <w:hyperlink r:id="rId15" w:tgtFrame="_blank" w:history="1">
        <w:r w:rsidRPr="009628B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uk-UA" w:eastAsia="ru-RU"/>
          </w:rPr>
          <w:t>пункту 9</w:t>
        </w:r>
      </w:hyperlink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розділу V «Прикінцеві положення» Закону України «Про регулювання містобудівної діяльності» подали документи про прийняття в експлуатацію об’єктів, штрафні санкції за виконання будівельних робіт без отримання документів, що дають право на їх виконання, та за експлуатацію або використання об’єктів будівництва, не прийнятих в експлуатацію, не застосовуються.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60" w:name="n62"/>
      <w:bookmarkEnd w:id="60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9. Один примірник декларації після її реєстрації повертається замовнику, а інший залишається в органі державного архітектурно-будівельного контролю, який її зареєстрував.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61" w:name="n63"/>
      <w:bookmarkEnd w:id="61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10. Датою прийняття в експлуатацію об’єкта є дата реєстрації декларації про готовність об’єкта до експлуатації.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62" w:name="n64"/>
      <w:bookmarkEnd w:id="62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11. Зареєстрована декларація є підставою для укладення договорів про постачання на прийнятий в експлуатацію об’єкт необхідних для його функціонування ресурсів - води, газу, тепла, електроенергії, включення даних про такий об’єкт до державної статистичної звітності та оформлення права власності на нього.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63" w:name="n65"/>
      <w:bookmarkEnd w:id="63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 наявності правовстановлюючих документів щодо об’єкта, який вводиться в експлуатацію, зареєстрована декларація є також підставою для внесення змін до технічного паспорта об’єкта.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64" w:name="n66"/>
      <w:bookmarkEnd w:id="64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12. Замовник зобов’язаний протягом семи календарних днів з дня прийняття в експлуатацію об’єкта подати копію декларації місцевому органу виконавчої влади або органу місцевого самоврядування за місцезнаходженням об’єкта для подання такими органами інформації про прийнятий в експлуатацію об’єкт до органу державної статистики.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65" w:name="n67"/>
      <w:bookmarkEnd w:id="65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13. Реєстрація декларації про готовність об’єкта до експлуатації може бути скасована: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66" w:name="n68"/>
      <w:bookmarkEnd w:id="66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разі виявлення органом державного архітектурно-будівельного контролю недостовірних даних (встановлення факту, що на дату реєстрації декларації інформація, яка зазначалася в ній, не відповідала дійсності, та/або виявлення розбіжностей між даними, зазначеними в декларації), наведених у зареєстрованій декларації;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67" w:name="n69"/>
      <w:bookmarkEnd w:id="67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відповідно до рішення суду про скасування реєстрації декларації про готовність об’єкта до експлуатації, яке набрало законної сили.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68" w:name="n70"/>
      <w:bookmarkEnd w:id="68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14. Реєстрація декларації скасовується шляхом видачі органом державного архітектурно-будівельного контролю відповідного наказу про скасування реєстрації декларації та виключення відповідних відомостей з Єдиного реєстру отриманих повідомлень про початок виконання підготовчих і будівельних робіт, зареєстрованих декларацій про початок виконання підготовчих і будівельних робіт, виданих дозволів на виконання будівельних робіт, зареєстрованих декларацій про готовність об’єкта до експлуатації та виданих сертифікатів, повернених декларацій та відмов у видачі таких дозволів і сертифікатів (далі - Єдиний реєстр) протягом п’яти робочих днів з дня настання підстав, указаних у пункті 13 цього розділу.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69" w:name="n71"/>
      <w:bookmarkEnd w:id="69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 скасування декларації замовнику письмово повідомляють протягом трьох робочих днів з дня її скасування.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70" w:name="n72"/>
      <w:bookmarkEnd w:id="70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Після скасування реєстрації декларації замовник має право повторно подати її згідно з вимогами цього Порядку.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71" w:name="n73"/>
      <w:bookmarkEnd w:id="71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15. У разі виявлення органом державного архітектурно-будівельного контролю наведених у декларації недостовірних даних (встановлення факту, що на дату реєстрації декларації інформація, яка зазначалася в ній, не відповідала дійсності, та/або виявлення розбіжностей між даними, зазначеними в декларації) він письмово повідомляє замовника протягом одного робочого дня з дня такого виявлення.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72" w:name="n74"/>
      <w:bookmarkEnd w:id="72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Замовник зобов’язаний протягом трьох робочих днів з дня самостійного виявлення технічної помилки (описки, друкарської, граматичної, арифметичної помилки) у зареєстрованій декларації або отримання відомостей про виявлення недостовірних даних подати достовірні дані щодо інформації, яка потребує змін, для внесення їх органом </w:t>
      </w:r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державного архітектурно-будівельного контролю до Єдиного реєстру шляхом подання особисто або надсилання органу державного архітектурно-будівельного контролю рекомендованим листом з описом вкладення заяви, декларації, в якій виявлено технічну помилку або недостовірні дані, в одному примірнику та декларації, в якій враховано зміни, у двох примірниках за формою згідно з </w:t>
      </w:r>
      <w:hyperlink r:id="rId16" w:anchor="n87" w:history="1">
        <w:r w:rsidRPr="009628B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 w:eastAsia="ru-RU"/>
          </w:rPr>
          <w:t>додатком 3</w:t>
        </w:r>
      </w:hyperlink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до цього Порядку.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73" w:name="n75"/>
      <w:bookmarkEnd w:id="73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 державного архітектурно-будівельного контролю здійснює реєстрацію декларації, в якій враховано зміни, згідно з цим Порядком.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74" w:name="n76"/>
      <w:bookmarkEnd w:id="74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Відомості щодо внесення даних, зазначених у декларації, в якій виявлено технічну помилку або недостовірні дані, підлягають виключенню з Єдиного реєстру в установленому порядку.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75" w:name="n77"/>
      <w:bookmarkEnd w:id="75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декларації, в якій виявлено технічну помилку, у верхньому лівому куті проставляється відмітка: «У зв’язку зі змінами, внесеними декларацією від ________ 20__ р. № ___, ця декларація втратила чинність» із зазначенням дати, підпису уповноваженої посадової особи, скріпленого особистою печаткою.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76" w:name="n78"/>
      <w:bookmarkEnd w:id="76"/>
      <w:r w:rsidRPr="009628B9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IV. Видача дублікатів зареєстрованих декларацій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77" w:name="n79"/>
      <w:bookmarkEnd w:id="77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разі втрати або пошкодження декларації орган державного архітектурно-будівельного контролю видає безоплатно дублікат зареєстрованої декларації протягом десяти робочих днів з дня надходження від замовника відповідної заяви та підтвердження розміщення ним у засобах масової інформації повідомлення про втрату декларації або надання пошкодженої декларації.</w:t>
      </w:r>
    </w:p>
    <w:p w:rsidR="00C5472A" w:rsidRPr="009628B9" w:rsidRDefault="00C5472A" w:rsidP="00C5472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78" w:name="n80"/>
      <w:bookmarkEnd w:id="78"/>
      <w:r w:rsidRPr="009628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Виготовлення дубліката здійснюється шляхом проставлення на копії зареєстрованої декларації слова «ДУБЛІКАТ», підпису уповноваженої посадової особи, скріпленого особистою печаткою (за наявності), та дати видачі дубліката.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29"/>
        <w:gridCol w:w="5426"/>
      </w:tblGrid>
      <w:tr w:rsidR="00C5472A" w:rsidRPr="009628B9" w:rsidTr="009628B9">
        <w:tc>
          <w:tcPr>
            <w:tcW w:w="2100" w:type="pct"/>
            <w:hideMark/>
          </w:tcPr>
          <w:p w:rsidR="00C5472A" w:rsidRPr="009628B9" w:rsidRDefault="00C5472A" w:rsidP="00C547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79" w:name="n81"/>
            <w:bookmarkEnd w:id="79"/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Т.в.о. директора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Департаменту державних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програм та розвитку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житлового будівництва</w:t>
            </w:r>
          </w:p>
        </w:tc>
        <w:tc>
          <w:tcPr>
            <w:tcW w:w="3500" w:type="pct"/>
            <w:hideMark/>
          </w:tcPr>
          <w:p w:rsidR="00C5472A" w:rsidRPr="009628B9" w:rsidRDefault="00C5472A" w:rsidP="00C5472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962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9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І.П. Денисюк</w:t>
            </w:r>
          </w:p>
        </w:tc>
      </w:tr>
    </w:tbl>
    <w:p w:rsidR="00390086" w:rsidRPr="009628B9" w:rsidRDefault="009628B9">
      <w:pPr>
        <w:rPr>
          <w:lang w:val="uk-UA"/>
        </w:rPr>
      </w:pPr>
    </w:p>
    <w:sectPr w:rsidR="00390086" w:rsidRPr="009628B9" w:rsidSect="00DD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5472A"/>
    <w:rsid w:val="0034161C"/>
    <w:rsid w:val="0056521D"/>
    <w:rsid w:val="009628B9"/>
    <w:rsid w:val="00C5472A"/>
    <w:rsid w:val="00DD2223"/>
    <w:rsid w:val="00F6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23"/>
  </w:style>
  <w:style w:type="paragraph" w:styleId="1">
    <w:name w:val="heading 1"/>
    <w:basedOn w:val="a"/>
    <w:link w:val="10"/>
    <w:uiPriority w:val="9"/>
    <w:qFormat/>
    <w:rsid w:val="00C5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472A"/>
  </w:style>
  <w:style w:type="paragraph" w:styleId="a4">
    <w:name w:val="Balloon Text"/>
    <w:basedOn w:val="a"/>
    <w:link w:val="a5"/>
    <w:uiPriority w:val="99"/>
    <w:semiHidden/>
    <w:unhideWhenUsed/>
    <w:rsid w:val="00C5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72A"/>
    <w:rPr>
      <w:rFonts w:ascii="Tahoma" w:hAnsi="Tahoma" w:cs="Tahoma"/>
      <w:sz w:val="16"/>
      <w:szCs w:val="16"/>
    </w:rPr>
  </w:style>
  <w:style w:type="paragraph" w:customStyle="1" w:styleId="rvps4">
    <w:name w:val="rvps4"/>
    <w:basedOn w:val="a"/>
    <w:rsid w:val="00C5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C5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C5472A"/>
  </w:style>
  <w:style w:type="character" w:customStyle="1" w:styleId="rvts23">
    <w:name w:val="rvts23"/>
    <w:basedOn w:val="a0"/>
    <w:rsid w:val="00C5472A"/>
  </w:style>
  <w:style w:type="paragraph" w:customStyle="1" w:styleId="rvps7">
    <w:name w:val="rvps7"/>
    <w:basedOn w:val="a"/>
    <w:rsid w:val="00C5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C5472A"/>
  </w:style>
  <w:style w:type="paragraph" w:customStyle="1" w:styleId="rvps14">
    <w:name w:val="rvps14"/>
    <w:basedOn w:val="a"/>
    <w:rsid w:val="00C5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C5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C5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5472A"/>
    <w:rPr>
      <w:color w:val="0000FF"/>
      <w:u w:val="single"/>
    </w:rPr>
  </w:style>
  <w:style w:type="character" w:customStyle="1" w:styleId="rvts52">
    <w:name w:val="rvts52"/>
    <w:basedOn w:val="a0"/>
    <w:rsid w:val="00C5472A"/>
  </w:style>
  <w:style w:type="character" w:customStyle="1" w:styleId="rvts44">
    <w:name w:val="rvts44"/>
    <w:basedOn w:val="a0"/>
    <w:rsid w:val="00C5472A"/>
  </w:style>
  <w:style w:type="paragraph" w:customStyle="1" w:styleId="rvps15">
    <w:name w:val="rvps15"/>
    <w:basedOn w:val="a"/>
    <w:rsid w:val="00C5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8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z0612-13" TargetMode="External"/><Relationship Id="rId13" Type="http://schemas.openxmlformats.org/officeDocument/2006/relationships/hyperlink" Target="http://zakon4.rada.gov.ua/laws/show/5203-1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z0547-15" TargetMode="External"/><Relationship Id="rId12" Type="http://schemas.openxmlformats.org/officeDocument/2006/relationships/hyperlink" Target="http://zakon4.rada.gov.ua/laws/show/z0547-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akon4.rada.gov.ua/laws/show/z0547-1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akon4.rada.gov.ua/laws/show/92-19/paran5" TargetMode="External"/><Relationship Id="rId11" Type="http://schemas.openxmlformats.org/officeDocument/2006/relationships/hyperlink" Target="http://zakon4.rada.gov.ua/laws/show/z0547-15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zakon4.rada.gov.ua/laws/show/3038-17" TargetMode="External"/><Relationship Id="rId10" Type="http://schemas.openxmlformats.org/officeDocument/2006/relationships/hyperlink" Target="http://zakon4.rada.gov.ua/laws/show/z0547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687-14" TargetMode="External"/><Relationship Id="rId14" Type="http://schemas.openxmlformats.org/officeDocument/2006/relationships/hyperlink" Target="http://zakon4.rada.gov.ua/laws/show/z05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2D4D-5EA9-4120-BFC7-F740FFB7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2707</Words>
  <Characters>15431</Characters>
  <Application>Microsoft Office Word</Application>
  <DocSecurity>0</DocSecurity>
  <Lines>128</Lines>
  <Paragraphs>36</Paragraphs>
  <ScaleCrop>false</ScaleCrop>
  <Company/>
  <LinksUpToDate>false</LinksUpToDate>
  <CharactersWithSpaces>18102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</dc:creator>
  <cp:keywords/>
  <dc:description/>
  <cp:lastModifiedBy>Кононенко</cp:lastModifiedBy>
  <cp:revision>2</cp:revision>
  <dcterms:created xsi:type="dcterms:W3CDTF">2015-07-06T13:35:00Z</dcterms:created>
  <dcterms:modified xsi:type="dcterms:W3CDTF">2015-07-06T14:18:00Z</dcterms:modified>
</cp:coreProperties>
</file>