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471BE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7C2F13">
        <w:rPr>
          <w:rStyle w:val="rvts15"/>
          <w:rFonts w:ascii="Times New Roman" w:hAnsi="Times New Roman" w:cs="Times New Roman"/>
          <w:bCs/>
          <w:sz w:val="28"/>
          <w:szCs w:val="28"/>
        </w:rPr>
        <w:t>головного спеціаліста відділу молодіжної політики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</w:t>
      </w:r>
      <w:r w:rsidR="007C2F13">
        <w:rPr>
          <w:rStyle w:val="rvts15"/>
          <w:bCs/>
          <w:color w:val="000000"/>
          <w:sz w:val="28"/>
          <w:szCs w:val="28"/>
        </w:rPr>
        <w:t>В</w:t>
      </w:r>
      <w:r w:rsidRPr="00D33EAE">
        <w:rPr>
          <w:rStyle w:val="rvts15"/>
          <w:bCs/>
          <w:color w:val="000000"/>
          <w:sz w:val="28"/>
          <w:szCs w:val="28"/>
        </w:rPr>
        <w:t>”)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43F" w:rsidRPr="002E2EBA" w:rsidRDefault="0071443F" w:rsidP="0071443F">
            <w:pPr>
              <w:pStyle w:val="ab"/>
              <w:numPr>
                <w:ilvl w:val="0"/>
                <w:numId w:val="3"/>
              </w:numPr>
              <w:tabs>
                <w:tab w:val="left" w:pos="331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роботи щодо відзначення молодих осіб премією Київського міського голови за особливі досягнення молоді у розбудові столиці України – міста-героя Києва та премією Київської міської ради за розвиток місцевого самоврядування; </w:t>
            </w:r>
          </w:p>
          <w:p w:rsidR="0071443F" w:rsidRPr="002E2EBA" w:rsidRDefault="0071443F" w:rsidP="0071443F">
            <w:pPr>
              <w:pStyle w:val="ab"/>
              <w:numPr>
                <w:ilvl w:val="0"/>
                <w:numId w:val="3"/>
              </w:numPr>
              <w:tabs>
                <w:tab w:val="left" w:pos="432"/>
              </w:tabs>
              <w:ind w:left="0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A">
              <w:rPr>
                <w:rFonts w:ascii="Times New Roman" w:hAnsi="Times New Roman" w:cs="Times New Roman"/>
                <w:sz w:val="28"/>
                <w:szCs w:val="28"/>
              </w:rPr>
              <w:t>підготовка, організація та реалізація програм та заходів у напрямку творчої молоді, розвитку неформальної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(подолання негативних явищ в молодіжному середовищі, статеве виховання молоді, попередження небезпечних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 молоді, формування дбайливого ставлення до навколишнього середовища,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тощо)</w:t>
            </w:r>
            <w:r w:rsidRPr="002E2E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443F" w:rsidRPr="002E2EBA" w:rsidRDefault="0071443F" w:rsidP="0071443F">
            <w:pPr>
              <w:pStyle w:val="ab"/>
              <w:numPr>
                <w:ilvl w:val="0"/>
                <w:numId w:val="3"/>
              </w:numPr>
              <w:ind w:left="0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роботи з органами  студентського самоврядування; </w:t>
            </w:r>
          </w:p>
          <w:p w:rsidR="0071443F" w:rsidRPr="002E2EBA" w:rsidRDefault="0071443F" w:rsidP="0071443F">
            <w:pPr>
              <w:pStyle w:val="a6"/>
              <w:numPr>
                <w:ilvl w:val="0"/>
                <w:numId w:val="3"/>
              </w:numPr>
              <w:tabs>
                <w:tab w:val="clear" w:pos="4819"/>
                <w:tab w:val="center" w:pos="756"/>
              </w:tabs>
              <w:suppressAutoHyphens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A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2E2EBA">
              <w:rPr>
                <w:rFonts w:ascii="Times New Roman" w:hAnsi="Times New Roman" w:cs="Times New Roman"/>
                <w:sz w:val="28"/>
                <w:szCs w:val="28"/>
              </w:rPr>
              <w:t>прoєктів</w:t>
            </w:r>
            <w:proofErr w:type="spellEnd"/>
            <w:r w:rsidRPr="002E2EBA">
              <w:rPr>
                <w:rFonts w:ascii="Times New Roman" w:hAnsi="Times New Roman" w:cs="Times New Roman"/>
                <w:sz w:val="28"/>
                <w:szCs w:val="28"/>
              </w:rPr>
              <w:t xml:space="preserve"> розпоряджень Київського міського голови, Київської міської державної  </w:t>
            </w:r>
          </w:p>
          <w:p w:rsidR="0071443F" w:rsidRPr="002E2EBA" w:rsidRDefault="0071443F" w:rsidP="007144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A">
              <w:rPr>
                <w:rFonts w:ascii="Times New Roman" w:hAnsi="Times New Roman" w:cs="Times New Roman"/>
                <w:sz w:val="28"/>
                <w:szCs w:val="28"/>
              </w:rPr>
              <w:t>адміністрації, рішень Київської міської ради;</w:t>
            </w:r>
          </w:p>
          <w:p w:rsidR="0071443F" w:rsidRPr="002E2EBA" w:rsidRDefault="0071443F" w:rsidP="0071443F">
            <w:pPr>
              <w:pStyle w:val="ab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A">
              <w:rPr>
                <w:rFonts w:ascii="Times New Roman" w:hAnsi="Times New Roman" w:cs="Times New Roman"/>
                <w:sz w:val="28"/>
                <w:szCs w:val="28"/>
              </w:rPr>
              <w:t>здійснення організаційної, інформаційно-аналітичної, координаційної та моніторингової роботи  з проведення міських заходів, акцій, фестивалів, форумів, конференцій, тощо за напрямками роботи;</w:t>
            </w:r>
          </w:p>
          <w:p w:rsidR="002F59B8" w:rsidRPr="002F59B8" w:rsidRDefault="0071443F" w:rsidP="002F59B8">
            <w:pPr>
              <w:pStyle w:val="ab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2F59B8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 щомісячних, щоквартальних та річних звітів;</w:t>
            </w:r>
          </w:p>
          <w:p w:rsidR="00471BEA" w:rsidRPr="002F59B8" w:rsidRDefault="0071443F" w:rsidP="002F59B8">
            <w:pPr>
              <w:pStyle w:val="ab"/>
              <w:numPr>
                <w:ilvl w:val="0"/>
                <w:numId w:val="3"/>
              </w:numPr>
              <w:ind w:left="0" w:firstLine="42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2F59B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забезпечення роботи платформи «Індекс </w:t>
            </w:r>
            <w:bookmarkStart w:id="1" w:name="_GoBack"/>
            <w:bookmarkEnd w:id="1"/>
            <w:r w:rsidRPr="002F59B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благополуччя молоді» (наповнення інформацією, проведення опитування, пошук партнерів, введення даних, тощо).</w:t>
            </w:r>
            <w:r w:rsidRPr="002F59B8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   </w:t>
            </w:r>
          </w:p>
          <w:p w:rsidR="0071443F" w:rsidRDefault="0071443F" w:rsidP="0071443F">
            <w:pPr>
              <w:pStyle w:val="ab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71443F" w:rsidRPr="0071443F" w:rsidRDefault="0071443F" w:rsidP="0071443F">
            <w:pPr>
              <w:pStyle w:val="ab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7C2F13">
        <w:trPr>
          <w:cantSplit/>
          <w:trHeight w:val="1654"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Default="003228E9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во;</w:t>
            </w:r>
          </w:p>
          <w:p w:rsidR="007C2F13" w:rsidRPr="003228E9" w:rsidRDefault="007C2F13" w:rsidP="003228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5C0178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Документи приймаються до 1</w:t>
            </w:r>
            <w:r w:rsidR="005C0178"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00 хв. </w:t>
            </w:r>
            <w:r w:rsidR="005C0178"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травня 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5C0178" w:rsidP="005C0178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9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9BB"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Pr="00F83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7C2F13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присвоєно ступінь вищої освіти не нижче бакалавра, молодшого бакалавра</w:t>
            </w:r>
            <w:r w:rsidRPr="007C2F13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:rsidTr="003228E9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3228E9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чітке і точне формулювання мети, цілей і завдань службової діяльності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lastRenderedPageBreak/>
              <w:t>комплексний підхід до виконання завдань, виявлення ризиків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471BEA" w:rsidRPr="005C0178" w:rsidRDefault="003228E9" w:rsidP="003228E9">
            <w:pPr>
              <w:pStyle w:val="1"/>
              <w:spacing w:after="0" w:line="240" w:lineRule="auto"/>
              <w:ind w:firstLine="33"/>
              <w:rPr>
                <w:sz w:val="28"/>
                <w:szCs w:val="28"/>
                <w:lang w:val="uk-UA"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розуміння змісту завдань і його кінцевих результатів, самостійне визначення можливих шляхів досягнення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 посадових обов’язків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сервіси інтернету для ефективного пошуку потрібної інформації, вміння перевіряти надійність джерел і достовірність даних та інформації у цифровому середовищі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 xml:space="preserve"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 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вміти користуватис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67F13">
              <w:rPr>
                <w:sz w:val="28"/>
                <w:szCs w:val="28"/>
                <w:lang w:val="uk-UA" w:eastAsia="en-US"/>
              </w:rPr>
              <w:t xml:space="preserve"> кваліфікованим електронним підписом (КЕП)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Pr="00567F13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3">
              <w:rPr>
                <w:rFonts w:ascii="Times New Roman" w:hAnsi="Times New Roman" w:cs="Times New Roman"/>
                <w:sz w:val="28"/>
                <w:szCs w:val="28"/>
              </w:rPr>
              <w:t>Адаптивність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усвідомлення необхідності запровадження змін для ефективного функціонування державної служби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позитивне ставлення та відкритість до змін і нововведень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5C0178" w:rsidRPr="00D33EAE" w:rsidRDefault="003228E9" w:rsidP="0071443F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регулювати та пристосовувати власну поведінку до обставин, що змінюються</w:t>
            </w:r>
          </w:p>
        </w:tc>
      </w:tr>
      <w:tr w:rsidR="003228E9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Професійні знання</w:t>
            </w:r>
          </w:p>
        </w:tc>
      </w:tr>
      <w:tr w:rsidR="003228E9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3228E9" w:rsidRPr="00D33EAE" w:rsidRDefault="003228E9" w:rsidP="003228E9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3228E9" w:rsidRPr="00D33EAE" w:rsidRDefault="003228E9" w:rsidP="003228E9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«Про доступ до публічної інформації»; </w:t>
            </w:r>
          </w:p>
          <w:p w:rsidR="003228E9" w:rsidRPr="00D33EAE" w:rsidRDefault="002E2EBA" w:rsidP="003228E9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 </w:t>
            </w:r>
            <w:r w:rsidR="003228E9" w:rsidRPr="00D33EAE">
              <w:rPr>
                <w:szCs w:val="28"/>
              </w:rPr>
              <w:t xml:space="preserve">«Про сприяння соціальному становленню та розвитку молоді в Україні»; </w:t>
            </w:r>
          </w:p>
          <w:p w:rsidR="003228E9" w:rsidRPr="00D33EAE" w:rsidRDefault="002E2EBA" w:rsidP="003228E9">
            <w:pPr>
              <w:pStyle w:val="21"/>
              <w:ind w:firstLine="113"/>
              <w:rPr>
                <w:szCs w:val="28"/>
              </w:rPr>
            </w:pPr>
            <w:r>
              <w:rPr>
                <w:szCs w:val="28"/>
              </w:rPr>
              <w:t>«Про громадські об’єднання»</w:t>
            </w:r>
          </w:p>
          <w:p w:rsidR="003228E9" w:rsidRPr="00D33EAE" w:rsidRDefault="003228E9" w:rsidP="003228E9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55" w:rsidRDefault="00ED6255" w:rsidP="00235133">
      <w:pPr>
        <w:spacing w:after="0" w:line="240" w:lineRule="auto"/>
      </w:pPr>
      <w:r>
        <w:separator/>
      </w:r>
    </w:p>
  </w:endnote>
  <w:endnote w:type="continuationSeparator" w:id="0">
    <w:p w:rsidR="00ED6255" w:rsidRDefault="00ED6255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55" w:rsidRDefault="00ED6255" w:rsidP="00235133">
      <w:pPr>
        <w:spacing w:after="0" w:line="240" w:lineRule="auto"/>
      </w:pPr>
      <w:r>
        <w:separator/>
      </w:r>
    </w:p>
  </w:footnote>
  <w:footnote w:type="continuationSeparator" w:id="0">
    <w:p w:rsidR="00ED6255" w:rsidRDefault="00ED6255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9B8">
          <w:rPr>
            <w:noProof/>
          </w:rPr>
          <w:t>5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6090A"/>
    <w:rsid w:val="000763EA"/>
    <w:rsid w:val="00076DE9"/>
    <w:rsid w:val="000E2837"/>
    <w:rsid w:val="00117F1D"/>
    <w:rsid w:val="00136BBD"/>
    <w:rsid w:val="00177563"/>
    <w:rsid w:val="0018782E"/>
    <w:rsid w:val="002317DA"/>
    <w:rsid w:val="00234DA0"/>
    <w:rsid w:val="00235133"/>
    <w:rsid w:val="002A54D7"/>
    <w:rsid w:val="002D59FD"/>
    <w:rsid w:val="002E2EBA"/>
    <w:rsid w:val="002F59B8"/>
    <w:rsid w:val="0031376B"/>
    <w:rsid w:val="003228E9"/>
    <w:rsid w:val="00380F82"/>
    <w:rsid w:val="003A4A21"/>
    <w:rsid w:val="004126DB"/>
    <w:rsid w:val="00427EF5"/>
    <w:rsid w:val="004541BB"/>
    <w:rsid w:val="00471BEA"/>
    <w:rsid w:val="00475531"/>
    <w:rsid w:val="004925BE"/>
    <w:rsid w:val="004D33EA"/>
    <w:rsid w:val="00523404"/>
    <w:rsid w:val="005569C1"/>
    <w:rsid w:val="00574F2B"/>
    <w:rsid w:val="005760F7"/>
    <w:rsid w:val="005C0178"/>
    <w:rsid w:val="005E1D86"/>
    <w:rsid w:val="006329D2"/>
    <w:rsid w:val="006369A1"/>
    <w:rsid w:val="006715E6"/>
    <w:rsid w:val="006D374B"/>
    <w:rsid w:val="006E6C46"/>
    <w:rsid w:val="00700154"/>
    <w:rsid w:val="0071443F"/>
    <w:rsid w:val="007377F9"/>
    <w:rsid w:val="007533DE"/>
    <w:rsid w:val="00790A80"/>
    <w:rsid w:val="007C2F13"/>
    <w:rsid w:val="0083350B"/>
    <w:rsid w:val="0086208B"/>
    <w:rsid w:val="008F4A51"/>
    <w:rsid w:val="00937D7E"/>
    <w:rsid w:val="009611AC"/>
    <w:rsid w:val="009B34AF"/>
    <w:rsid w:val="009D50B1"/>
    <w:rsid w:val="00AD4FF8"/>
    <w:rsid w:val="00B06A76"/>
    <w:rsid w:val="00B72DD8"/>
    <w:rsid w:val="00BA7194"/>
    <w:rsid w:val="00C40EA8"/>
    <w:rsid w:val="00CD6582"/>
    <w:rsid w:val="00CE0AE3"/>
    <w:rsid w:val="00D33EAE"/>
    <w:rsid w:val="00D63E46"/>
    <w:rsid w:val="00D84E31"/>
    <w:rsid w:val="00D95A5A"/>
    <w:rsid w:val="00DD2B38"/>
    <w:rsid w:val="00E00025"/>
    <w:rsid w:val="00E17808"/>
    <w:rsid w:val="00E208FA"/>
    <w:rsid w:val="00E773F0"/>
    <w:rsid w:val="00EA7D16"/>
    <w:rsid w:val="00ED1E48"/>
    <w:rsid w:val="00ED4DCA"/>
    <w:rsid w:val="00ED6255"/>
    <w:rsid w:val="00F078DB"/>
    <w:rsid w:val="00F279C1"/>
    <w:rsid w:val="00F60777"/>
    <w:rsid w:val="00F63E71"/>
    <w:rsid w:val="00F839BB"/>
    <w:rsid w:val="00FC68BD"/>
    <w:rsid w:val="00FD3FA0"/>
    <w:rsid w:val="00FE3172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8D75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qFormat/>
    <w:rsid w:val="007C2F13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1">
    <w:name w:val="Обычный (веб)1"/>
    <w:basedOn w:val="a"/>
    <w:uiPriority w:val="99"/>
    <w:rsid w:val="003228E9"/>
    <w:pPr>
      <w:suppressAutoHyphens/>
      <w:overflowPunct w:val="0"/>
      <w:spacing w:after="28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4777</Words>
  <Characters>2724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5</cp:revision>
  <cp:lastPrinted>2021-04-01T06:56:00Z</cp:lastPrinted>
  <dcterms:created xsi:type="dcterms:W3CDTF">2021-04-16T09:39:00Z</dcterms:created>
  <dcterms:modified xsi:type="dcterms:W3CDTF">2021-05-05T06:32:00Z</dcterms:modified>
</cp:coreProperties>
</file>