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76" w:rsidRPr="00403B54" w:rsidRDefault="00FC4E76" w:rsidP="00FC4E76">
      <w:pPr>
        <w:suppressAutoHyphens/>
        <w:autoSpaceDN w:val="0"/>
        <w:spacing w:after="0"/>
        <w:jc w:val="center"/>
        <w:textAlignment w:val="baseline"/>
        <w:rPr>
          <w:rFonts w:ascii="Times New Roman" w:eastAsia="Times New Roman" w:hAnsi="Times New Roman" w:cs="Times New Roman"/>
          <w:b/>
          <w:sz w:val="28"/>
          <w:szCs w:val="28"/>
          <w:lang w:eastAsia="ru-RU"/>
        </w:rPr>
      </w:pPr>
      <w:r w:rsidRPr="00403B54">
        <w:rPr>
          <w:rFonts w:ascii="Times New Roman" w:eastAsia="Times New Roman" w:hAnsi="Times New Roman" w:cs="Times New Roman"/>
          <w:b/>
          <w:sz w:val="28"/>
          <w:szCs w:val="28"/>
          <w:lang w:eastAsia="ru-RU"/>
        </w:rPr>
        <w:t>ІНФОРМАЦІЯ</w:t>
      </w:r>
      <w:r>
        <w:rPr>
          <w:rFonts w:ascii="Times New Roman" w:eastAsia="Times New Roman" w:hAnsi="Times New Roman" w:cs="Times New Roman"/>
          <w:b/>
          <w:sz w:val="28"/>
          <w:szCs w:val="28"/>
          <w:lang w:eastAsia="ru-RU"/>
        </w:rPr>
        <w:t xml:space="preserve"> ДО ВІДОМА</w:t>
      </w:r>
    </w:p>
    <w:p w:rsidR="00FC4E76" w:rsidRDefault="00FC4E76" w:rsidP="00FC4E76">
      <w:pPr>
        <w:suppressAutoHyphens/>
        <w:autoSpaceDN w:val="0"/>
        <w:spacing w:after="0"/>
        <w:jc w:val="center"/>
        <w:textAlignment w:val="baseline"/>
        <w:rPr>
          <w:rFonts w:ascii="Times New Roman" w:eastAsia="Times New Roman" w:hAnsi="Times New Roman" w:cs="Times New Roman"/>
          <w:b/>
          <w:iCs/>
          <w:color w:val="000000"/>
          <w:kern w:val="3"/>
          <w:sz w:val="28"/>
          <w:szCs w:val="28"/>
          <w:lang w:eastAsia="ru-RU"/>
        </w:rPr>
      </w:pPr>
    </w:p>
    <w:p w:rsidR="00FC4E76" w:rsidRDefault="00FC4E76" w:rsidP="00FC4E76">
      <w:pPr>
        <w:suppressAutoHyphens/>
        <w:autoSpaceDN w:val="0"/>
        <w:spacing w:after="0" w:line="240" w:lineRule="auto"/>
        <w:ind w:firstLine="567"/>
        <w:jc w:val="both"/>
        <w:textAlignment w:val="baseline"/>
        <w:rPr>
          <w:rFonts w:ascii="Times New Roman" w:hAnsi="Times New Roman" w:cs="Times New Roman"/>
          <w:color w:val="000000"/>
          <w:sz w:val="28"/>
          <w:szCs w:val="28"/>
          <w:shd w:val="clear" w:color="auto" w:fill="FFFFFF"/>
          <w:lang w:val="ru-RU"/>
        </w:rPr>
      </w:pPr>
      <w:proofErr w:type="spellStart"/>
      <w:r w:rsidRPr="00174CFE">
        <w:rPr>
          <w:rFonts w:ascii="Times New Roman" w:hAnsi="Times New Roman" w:cs="Times New Roman"/>
          <w:b/>
          <w:i/>
          <w:color w:val="000000"/>
          <w:sz w:val="28"/>
          <w:szCs w:val="28"/>
          <w:u w:val="single"/>
          <w:shd w:val="clear" w:color="auto" w:fill="FFFFFF"/>
          <w:lang w:val="ru-RU"/>
        </w:rPr>
        <w:t>Присяжним</w:t>
      </w:r>
      <w:proofErr w:type="spellEnd"/>
      <w:r w:rsidRPr="00174CFE">
        <w:rPr>
          <w:rFonts w:ascii="Times New Roman" w:hAnsi="Times New Roman" w:cs="Times New Roman"/>
          <w:color w:val="000000"/>
          <w:sz w:val="28"/>
          <w:szCs w:val="28"/>
          <w:shd w:val="clear" w:color="auto" w:fill="FFFFFF"/>
          <w:lang w:val="ru-RU"/>
        </w:rPr>
        <w:t xml:space="preserve"> є особа, яка у </w:t>
      </w:r>
      <w:proofErr w:type="spellStart"/>
      <w:r w:rsidRPr="00174CFE">
        <w:rPr>
          <w:rFonts w:ascii="Times New Roman" w:hAnsi="Times New Roman" w:cs="Times New Roman"/>
          <w:color w:val="000000"/>
          <w:sz w:val="28"/>
          <w:szCs w:val="28"/>
          <w:shd w:val="clear" w:color="auto" w:fill="FFFFFF"/>
          <w:lang w:val="ru-RU"/>
        </w:rPr>
        <w:t>випадках</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визначених</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процесуальним</w:t>
      </w:r>
      <w:proofErr w:type="spellEnd"/>
      <w:r w:rsidRPr="00174CFE">
        <w:rPr>
          <w:rFonts w:ascii="Times New Roman" w:hAnsi="Times New Roman" w:cs="Times New Roman"/>
          <w:color w:val="000000"/>
          <w:sz w:val="28"/>
          <w:szCs w:val="28"/>
          <w:shd w:val="clear" w:color="auto" w:fill="FFFFFF"/>
          <w:lang w:val="ru-RU"/>
        </w:rPr>
        <w:t xml:space="preserve"> законом, та за </w:t>
      </w:r>
      <w:proofErr w:type="spellStart"/>
      <w:r w:rsidRPr="00174CFE">
        <w:rPr>
          <w:rFonts w:ascii="Times New Roman" w:hAnsi="Times New Roman" w:cs="Times New Roman"/>
          <w:color w:val="000000"/>
          <w:sz w:val="28"/>
          <w:szCs w:val="28"/>
          <w:shd w:val="clear" w:color="auto" w:fill="FFFFFF"/>
          <w:lang w:val="ru-RU"/>
        </w:rPr>
        <w:t>її</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згодою</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вирішує</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справи</w:t>
      </w:r>
      <w:proofErr w:type="spellEnd"/>
      <w:r w:rsidRPr="00174CFE">
        <w:rPr>
          <w:rFonts w:ascii="Times New Roman" w:hAnsi="Times New Roman" w:cs="Times New Roman"/>
          <w:color w:val="000000"/>
          <w:sz w:val="28"/>
          <w:szCs w:val="28"/>
          <w:shd w:val="clear" w:color="auto" w:fill="FFFFFF"/>
          <w:lang w:val="ru-RU"/>
        </w:rPr>
        <w:t xml:space="preserve"> у </w:t>
      </w:r>
      <w:proofErr w:type="spellStart"/>
      <w:r w:rsidRPr="00174CFE">
        <w:rPr>
          <w:rFonts w:ascii="Times New Roman" w:hAnsi="Times New Roman" w:cs="Times New Roman"/>
          <w:color w:val="000000"/>
          <w:sz w:val="28"/>
          <w:szCs w:val="28"/>
          <w:shd w:val="clear" w:color="auto" w:fill="FFFFFF"/>
          <w:lang w:val="ru-RU"/>
        </w:rPr>
        <w:t>складі</w:t>
      </w:r>
      <w:proofErr w:type="spellEnd"/>
      <w:r w:rsidRPr="00174CFE">
        <w:rPr>
          <w:rFonts w:ascii="Times New Roman" w:hAnsi="Times New Roman" w:cs="Times New Roman"/>
          <w:color w:val="000000"/>
          <w:sz w:val="28"/>
          <w:szCs w:val="28"/>
          <w:shd w:val="clear" w:color="auto" w:fill="FFFFFF"/>
          <w:lang w:val="ru-RU"/>
        </w:rPr>
        <w:t xml:space="preserve"> суду разом </w:t>
      </w:r>
      <w:proofErr w:type="spellStart"/>
      <w:r w:rsidRPr="00174CFE">
        <w:rPr>
          <w:rFonts w:ascii="Times New Roman" w:hAnsi="Times New Roman" w:cs="Times New Roman"/>
          <w:color w:val="000000"/>
          <w:sz w:val="28"/>
          <w:szCs w:val="28"/>
          <w:shd w:val="clear" w:color="auto" w:fill="FFFFFF"/>
          <w:lang w:val="ru-RU"/>
        </w:rPr>
        <w:t>із</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суддею</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або</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залучається</w:t>
      </w:r>
      <w:proofErr w:type="spellEnd"/>
      <w:r w:rsidRPr="00174CFE">
        <w:rPr>
          <w:rFonts w:ascii="Times New Roman" w:hAnsi="Times New Roman" w:cs="Times New Roman"/>
          <w:color w:val="000000"/>
          <w:sz w:val="28"/>
          <w:szCs w:val="28"/>
          <w:shd w:val="clear" w:color="auto" w:fill="FFFFFF"/>
          <w:lang w:val="ru-RU"/>
        </w:rPr>
        <w:t xml:space="preserve"> до </w:t>
      </w:r>
      <w:proofErr w:type="spellStart"/>
      <w:r w:rsidRPr="00174CFE">
        <w:rPr>
          <w:rFonts w:ascii="Times New Roman" w:hAnsi="Times New Roman" w:cs="Times New Roman"/>
          <w:color w:val="000000"/>
          <w:sz w:val="28"/>
          <w:szCs w:val="28"/>
          <w:shd w:val="clear" w:color="auto" w:fill="FFFFFF"/>
          <w:lang w:val="ru-RU"/>
        </w:rPr>
        <w:t>здійснення</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правосуддя</w:t>
      </w:r>
      <w:proofErr w:type="spellEnd"/>
      <w:r w:rsidRPr="00174CFE">
        <w:rPr>
          <w:rFonts w:ascii="Times New Roman" w:hAnsi="Times New Roman" w:cs="Times New Roman"/>
          <w:color w:val="000000"/>
          <w:sz w:val="28"/>
          <w:szCs w:val="28"/>
          <w:shd w:val="clear" w:color="auto" w:fill="FFFFFF"/>
          <w:lang w:val="ru-RU"/>
        </w:rPr>
        <w:t>.</w:t>
      </w:r>
    </w:p>
    <w:p w:rsidR="00FC4E76" w:rsidRDefault="00FC4E76" w:rsidP="00FC4E76">
      <w:pPr>
        <w:suppressAutoHyphens/>
        <w:autoSpaceDN w:val="0"/>
        <w:spacing w:after="0" w:line="240" w:lineRule="auto"/>
        <w:ind w:firstLine="567"/>
        <w:jc w:val="both"/>
        <w:textAlignment w:val="baseline"/>
        <w:rPr>
          <w:rFonts w:ascii="Times New Roman" w:hAnsi="Times New Roman" w:cs="Times New Roman"/>
          <w:color w:val="000000"/>
          <w:sz w:val="28"/>
          <w:szCs w:val="28"/>
          <w:shd w:val="clear" w:color="auto" w:fill="FFFFFF"/>
          <w:lang w:val="ru-RU"/>
        </w:rPr>
      </w:pPr>
    </w:p>
    <w:p w:rsidR="00FC4E76" w:rsidRPr="00174CFE" w:rsidRDefault="00FC4E76" w:rsidP="00FC4E76">
      <w:pPr>
        <w:suppressAutoHyphens/>
        <w:autoSpaceDN w:val="0"/>
        <w:spacing w:after="0" w:line="240" w:lineRule="auto"/>
        <w:jc w:val="both"/>
        <w:textAlignment w:val="baseline"/>
        <w:rPr>
          <w:rFonts w:ascii="Times New Roman" w:eastAsia="Times New Roman" w:hAnsi="Times New Roman" w:cs="Times New Roman"/>
          <w:b/>
          <w:i/>
          <w:iCs/>
          <w:color w:val="000000"/>
          <w:kern w:val="3"/>
          <w:sz w:val="28"/>
          <w:szCs w:val="28"/>
          <w:u w:val="single"/>
          <w:lang w:eastAsia="ru-RU"/>
        </w:rPr>
      </w:pPr>
      <w:r w:rsidRPr="00174CFE">
        <w:rPr>
          <w:rFonts w:ascii="Times New Roman" w:eastAsia="Times New Roman" w:hAnsi="Times New Roman" w:cs="Times New Roman"/>
          <w:b/>
          <w:i/>
          <w:iCs/>
          <w:color w:val="000000"/>
          <w:kern w:val="3"/>
          <w:sz w:val="28"/>
          <w:szCs w:val="28"/>
          <w:u w:val="single"/>
          <w:lang w:eastAsia="ru-RU"/>
        </w:rPr>
        <w:t>Хто може стати присяжним?</w:t>
      </w:r>
    </w:p>
    <w:p w:rsidR="00FC4E76" w:rsidRPr="00D2765C" w:rsidRDefault="00FC4E76" w:rsidP="00FC4E76">
      <w:pPr>
        <w:suppressAutoHyphens/>
        <w:autoSpaceDN w:val="0"/>
        <w:spacing w:after="0"/>
        <w:jc w:val="both"/>
        <w:textAlignment w:val="baseline"/>
        <w:rPr>
          <w:rFonts w:ascii="Times New Roman" w:eastAsia="Times New Roman" w:hAnsi="Times New Roman" w:cs="Times New Roman"/>
          <w:iCs/>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        </w:t>
      </w:r>
      <w:r w:rsidRPr="00174CFE">
        <w:rPr>
          <w:rFonts w:ascii="Times New Roman" w:eastAsia="Times New Roman" w:hAnsi="Times New Roman" w:cs="Times New Roman"/>
          <w:color w:val="000000"/>
          <w:kern w:val="3"/>
          <w:sz w:val="28"/>
          <w:szCs w:val="28"/>
          <w:lang w:eastAsia="ru-RU"/>
        </w:rPr>
        <w:t xml:space="preserve">Відповідно до </w:t>
      </w:r>
      <w:r>
        <w:rPr>
          <w:rFonts w:ascii="Times New Roman" w:eastAsia="Times New Roman" w:hAnsi="Times New Roman" w:cs="Times New Roman"/>
          <w:color w:val="000000"/>
          <w:kern w:val="3"/>
          <w:sz w:val="28"/>
          <w:szCs w:val="28"/>
          <w:lang w:eastAsia="ru-RU"/>
        </w:rPr>
        <w:t xml:space="preserve">статті 65 </w:t>
      </w:r>
      <w:r w:rsidRPr="00174CFE">
        <w:rPr>
          <w:rFonts w:ascii="Times New Roman" w:eastAsia="Times New Roman" w:hAnsi="Times New Roman" w:cs="Times New Roman"/>
          <w:color w:val="000000"/>
          <w:kern w:val="3"/>
          <w:sz w:val="28"/>
          <w:szCs w:val="28"/>
          <w:lang w:eastAsia="ru-RU"/>
        </w:rPr>
        <w:t>Закону України</w:t>
      </w:r>
      <w:r w:rsidRPr="00174CFE">
        <w:rPr>
          <w:rFonts w:ascii="Times New Roman" w:eastAsia="Times New Roman" w:hAnsi="Times New Roman" w:cs="Times New Roman"/>
          <w:b/>
          <w:color w:val="000000"/>
          <w:kern w:val="3"/>
          <w:sz w:val="28"/>
          <w:szCs w:val="28"/>
          <w:lang w:eastAsia="ru-RU"/>
        </w:rPr>
        <w:t xml:space="preserve"> </w:t>
      </w:r>
      <w:r w:rsidRPr="00174CFE">
        <w:rPr>
          <w:rFonts w:ascii="Times New Roman" w:hAnsi="Times New Roman" w:cs="Times New Roman"/>
          <w:color w:val="000000"/>
          <w:kern w:val="3"/>
          <w:sz w:val="28"/>
          <w:szCs w:val="28"/>
        </w:rPr>
        <w:t>«Про судоустрій і статус суддів»</w:t>
      </w:r>
      <w:r w:rsidRPr="00174CFE">
        <w:rPr>
          <w:rFonts w:ascii="Times New Roman" w:eastAsia="Times New Roman" w:hAnsi="Times New Roman" w:cs="Times New Roman"/>
          <w:b/>
          <w:color w:val="000000"/>
          <w:kern w:val="3"/>
          <w:sz w:val="28"/>
          <w:szCs w:val="28"/>
          <w:lang w:eastAsia="ru-RU"/>
        </w:rPr>
        <w:t xml:space="preserve"> </w:t>
      </w:r>
      <w:r w:rsidRPr="00174CFE">
        <w:rPr>
          <w:rFonts w:ascii="Times New Roman" w:eastAsia="Times New Roman" w:hAnsi="Times New Roman" w:cs="Times New Roman"/>
          <w:color w:val="000000"/>
          <w:kern w:val="3"/>
          <w:sz w:val="28"/>
          <w:szCs w:val="28"/>
          <w:lang w:eastAsia="ru-RU"/>
        </w:rPr>
        <w:t>п</w:t>
      </w:r>
      <w:r w:rsidRPr="00174CFE">
        <w:rPr>
          <w:rFonts w:ascii="Times New Roman" w:eastAsia="Times New Roman" w:hAnsi="Times New Roman" w:cs="Times New Roman"/>
          <w:iCs/>
          <w:color w:val="000000"/>
          <w:kern w:val="3"/>
          <w:sz w:val="28"/>
          <w:szCs w:val="28"/>
          <w:lang w:eastAsia="ru-RU"/>
        </w:rPr>
        <w:t xml:space="preserve">рисяжним може бути обраний громадянин України, який досяг 30 років і </w:t>
      </w:r>
      <w:r w:rsidRPr="00874F42">
        <w:rPr>
          <w:rFonts w:ascii="Times New Roman" w:eastAsia="Times New Roman" w:hAnsi="Times New Roman" w:cs="Times New Roman"/>
          <w:iCs/>
          <w:color w:val="000000"/>
          <w:kern w:val="3"/>
          <w:sz w:val="28"/>
          <w:szCs w:val="28"/>
          <w:u w:val="single"/>
          <w:lang w:eastAsia="ru-RU"/>
        </w:rPr>
        <w:t>постійно проживає на території, на яку поширюєть</w:t>
      </w:r>
      <w:r>
        <w:rPr>
          <w:rFonts w:ascii="Times New Roman" w:eastAsia="Times New Roman" w:hAnsi="Times New Roman" w:cs="Times New Roman"/>
          <w:iCs/>
          <w:color w:val="000000"/>
          <w:kern w:val="3"/>
          <w:sz w:val="28"/>
          <w:szCs w:val="28"/>
          <w:u w:val="single"/>
          <w:lang w:eastAsia="ru-RU"/>
        </w:rPr>
        <w:t>ся юрисдикція відповідного суду,</w:t>
      </w:r>
      <w:r w:rsidRPr="00C7368E">
        <w:rPr>
          <w:rFonts w:ascii="Times New Roman" w:eastAsia="Times New Roman" w:hAnsi="Times New Roman" w:cs="Times New Roman"/>
          <w:iCs/>
          <w:color w:val="000000"/>
          <w:kern w:val="3"/>
          <w:sz w:val="28"/>
          <w:szCs w:val="28"/>
          <w:lang w:eastAsia="ru-RU"/>
        </w:rPr>
        <w:t xml:space="preserve"> </w:t>
      </w:r>
      <w:r>
        <w:rPr>
          <w:rFonts w:ascii="Times New Roman" w:eastAsia="Times New Roman" w:hAnsi="Times New Roman" w:cs="Times New Roman"/>
          <w:iCs/>
          <w:color w:val="000000"/>
          <w:kern w:val="3"/>
          <w:sz w:val="28"/>
          <w:szCs w:val="28"/>
          <w:lang w:eastAsia="ru-RU"/>
        </w:rPr>
        <w:t>відповідає вимогам і дав</w:t>
      </w:r>
      <w:r w:rsidRPr="0041544A">
        <w:rPr>
          <w:rFonts w:ascii="Times New Roman" w:eastAsia="Times New Roman" w:hAnsi="Times New Roman" w:cs="Times New Roman"/>
          <w:iCs/>
          <w:color w:val="000000"/>
          <w:kern w:val="3"/>
          <w:sz w:val="28"/>
          <w:szCs w:val="28"/>
          <w:lang w:eastAsia="ru-RU"/>
        </w:rPr>
        <w:t xml:space="preserve"> згоду бути </w:t>
      </w:r>
      <w:r w:rsidRPr="00D2765C">
        <w:rPr>
          <w:rFonts w:ascii="Times New Roman" w:eastAsia="Times New Roman" w:hAnsi="Times New Roman" w:cs="Times New Roman"/>
          <w:iCs/>
          <w:color w:val="000000"/>
          <w:kern w:val="3"/>
          <w:sz w:val="28"/>
          <w:szCs w:val="28"/>
          <w:lang w:eastAsia="ru-RU"/>
        </w:rPr>
        <w:t>присяжним.</w:t>
      </w:r>
    </w:p>
    <w:p w:rsidR="00FC4E76" w:rsidRPr="00071D72" w:rsidRDefault="00FC4E76" w:rsidP="00FC4E76">
      <w:pPr>
        <w:suppressAutoHyphens/>
        <w:autoSpaceDN w:val="0"/>
        <w:spacing w:after="0"/>
        <w:jc w:val="both"/>
        <w:textAlignment w:val="baseline"/>
        <w:rPr>
          <w:rFonts w:ascii="Times New Roman" w:eastAsia="Times New Roman" w:hAnsi="Times New Roman" w:cs="Times New Roman"/>
          <w:iCs/>
          <w:color w:val="000000"/>
          <w:kern w:val="3"/>
          <w:sz w:val="28"/>
          <w:szCs w:val="28"/>
          <w:lang w:eastAsia="ru-RU"/>
        </w:rPr>
      </w:pPr>
    </w:p>
    <w:p w:rsidR="00FC4E76" w:rsidRPr="00E66DB8"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u w:val="single"/>
          <w:lang w:eastAsia="ru-RU"/>
        </w:rPr>
      </w:pPr>
      <w:r w:rsidRPr="00174CFE">
        <w:rPr>
          <w:rFonts w:ascii="Times New Roman" w:eastAsia="Times New Roman" w:hAnsi="Times New Roman" w:cs="Times New Roman"/>
          <w:b/>
          <w:i/>
          <w:iCs/>
          <w:color w:val="000000"/>
          <w:kern w:val="3"/>
          <w:sz w:val="28"/>
          <w:szCs w:val="28"/>
          <w:u w:val="single"/>
          <w:lang w:eastAsia="ru-RU"/>
        </w:rPr>
        <w:t>Хто не може бути присяжним?</w:t>
      </w:r>
    </w:p>
    <w:p w:rsidR="00FC4E76" w:rsidRPr="00174CFE"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r>
        <w:rPr>
          <w:rFonts w:ascii="Times New Roman" w:eastAsia="Times New Roman" w:hAnsi="Times New Roman" w:cs="Times New Roman"/>
          <w:iCs/>
          <w:color w:val="000000"/>
          <w:kern w:val="3"/>
          <w:sz w:val="28"/>
          <w:szCs w:val="28"/>
          <w:lang w:eastAsia="ru-RU"/>
        </w:rPr>
        <w:t xml:space="preserve">        </w:t>
      </w:r>
      <w:r w:rsidRPr="00174CFE">
        <w:rPr>
          <w:rFonts w:ascii="Times New Roman" w:eastAsia="Times New Roman" w:hAnsi="Times New Roman" w:cs="Times New Roman"/>
          <w:iCs/>
          <w:color w:val="000000"/>
          <w:kern w:val="3"/>
          <w:sz w:val="28"/>
          <w:szCs w:val="28"/>
          <w:lang w:eastAsia="ru-RU"/>
        </w:rPr>
        <w:t>Присяжними не можуть бути громадяни, які:</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1. Визнані судом обмежено дієздатними або недієздатними.</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2. Які мають хронічні психічні чи інші захворювання, що перешкоджають виконанню обов'язків присяжного.</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3. Які мають незняту чи непогашену судимість.</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5. Особи, на яких протягом останнього року накладалося адміністративне стягнення за вчинення корупційного правопорушення.</w:t>
      </w:r>
    </w:p>
    <w:p w:rsidR="00FC4E76" w:rsidRPr="00174CFE"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6. Громадяни, які досягли шістдесяти п'яти років.</w:t>
      </w:r>
    </w:p>
    <w:p w:rsidR="00FC4E76"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7. Особи, які не володіють державною мовою.</w:t>
      </w:r>
    </w:p>
    <w:p w:rsidR="00FC4E76" w:rsidRPr="00071D72" w:rsidRDefault="00FC4E76" w:rsidP="00FC4E76">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p>
    <w:p w:rsidR="00FC4E76" w:rsidRPr="00174CFE" w:rsidRDefault="00FC4E76" w:rsidP="00FC4E76">
      <w:pPr>
        <w:shd w:val="clear" w:color="auto" w:fill="FFFFFF"/>
        <w:spacing w:after="0" w:line="240" w:lineRule="auto"/>
        <w:jc w:val="both"/>
        <w:rPr>
          <w:rFonts w:ascii="Times New Roman" w:hAnsi="Times New Roman" w:cs="Times New Roman"/>
          <w:i/>
          <w:kern w:val="3"/>
          <w:sz w:val="28"/>
          <w:szCs w:val="28"/>
          <w:u w:val="single"/>
        </w:rPr>
      </w:pPr>
      <w:r w:rsidRPr="00174CFE">
        <w:rPr>
          <w:rFonts w:ascii="Times New Roman" w:hAnsi="Times New Roman" w:cs="Times New Roman"/>
          <w:b/>
          <w:i/>
          <w:kern w:val="3"/>
          <w:sz w:val="28"/>
          <w:szCs w:val="28"/>
          <w:u w:val="single"/>
        </w:rPr>
        <w:t>Справи, до розгляду яких залучаються присяжні</w:t>
      </w:r>
    </w:p>
    <w:p w:rsidR="00FC4E76" w:rsidRPr="00174CFE" w:rsidRDefault="00FC4E76" w:rsidP="00FC4E76">
      <w:pPr>
        <w:shd w:val="clear" w:color="auto" w:fill="FFFFFF"/>
        <w:spacing w:after="0" w:line="240" w:lineRule="auto"/>
        <w:ind w:firstLine="426"/>
        <w:jc w:val="both"/>
        <w:rPr>
          <w:rFonts w:ascii="Times New Roman" w:hAnsi="Times New Roman" w:cs="Times New Roman"/>
          <w:kern w:val="3"/>
          <w:sz w:val="28"/>
          <w:szCs w:val="28"/>
        </w:rPr>
      </w:pPr>
      <w:r w:rsidRPr="00174CFE">
        <w:rPr>
          <w:rFonts w:ascii="Times New Roman" w:hAnsi="Times New Roman" w:cs="Times New Roman"/>
          <w:kern w:val="3"/>
          <w:sz w:val="28"/>
          <w:szCs w:val="28"/>
        </w:rPr>
        <w:t>Цивільні справи про:</w:t>
      </w:r>
    </w:p>
    <w:p w:rsidR="00FC4E76" w:rsidRPr="00174CFE" w:rsidRDefault="00FC4E76" w:rsidP="00FC4E76">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обмеження, поновлення цивільної дієздатності особи або визнання недієздатною;</w:t>
      </w:r>
    </w:p>
    <w:p w:rsidR="00FC4E76" w:rsidRPr="00174CFE" w:rsidRDefault="00FC4E76" w:rsidP="00FC4E76">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визнання особи безвісно відсутньою чи померлою;</w:t>
      </w:r>
    </w:p>
    <w:p w:rsidR="00FC4E76" w:rsidRPr="00174CFE" w:rsidRDefault="00FC4E76" w:rsidP="00FC4E76">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усиновлення;</w:t>
      </w:r>
    </w:p>
    <w:p w:rsidR="00FC4E76" w:rsidRPr="00174CFE" w:rsidRDefault="00FC4E76" w:rsidP="00FC4E76">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надання особі психіатричної допомоги;</w:t>
      </w:r>
    </w:p>
    <w:p w:rsidR="00FC4E76" w:rsidRPr="00174CFE" w:rsidRDefault="00FC4E76" w:rsidP="00FC4E76">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примусову госпіталізацію особи до протитуберкульозного закладу;</w:t>
      </w:r>
    </w:p>
    <w:p w:rsidR="00FC4E76" w:rsidRDefault="00FC4E76" w:rsidP="00FC4E76">
      <w:pPr>
        <w:shd w:val="clear" w:color="auto" w:fill="FFFFFF"/>
        <w:spacing w:after="0" w:line="240" w:lineRule="auto"/>
        <w:ind w:firstLine="567"/>
        <w:jc w:val="both"/>
        <w:rPr>
          <w:rFonts w:ascii="Times New Roman" w:hAnsi="Times New Roman" w:cs="Times New Roman"/>
          <w:sz w:val="28"/>
          <w:szCs w:val="28"/>
          <w:lang w:val="ru-RU"/>
        </w:rPr>
      </w:pPr>
      <w:r w:rsidRPr="00174CFE">
        <w:rPr>
          <w:rFonts w:ascii="Times New Roman" w:hAnsi="Times New Roman" w:cs="Times New Roman"/>
          <w:kern w:val="3"/>
          <w:sz w:val="28"/>
          <w:szCs w:val="28"/>
        </w:rPr>
        <w:t>Кримінальні справи</w:t>
      </w:r>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щодо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злочинів</w:t>
      </w:r>
      <w:proofErr w:type="spellEnd"/>
      <w:r w:rsidRPr="00174CFE">
        <w:rPr>
          <w:rFonts w:ascii="Times New Roman" w:hAnsi="Times New Roman" w:cs="Times New Roman"/>
          <w:sz w:val="28"/>
          <w:szCs w:val="28"/>
          <w:lang w:val="ru-RU"/>
        </w:rPr>
        <w:t xml:space="preserve">, за </w:t>
      </w:r>
      <w:proofErr w:type="spellStart"/>
      <w:r w:rsidRPr="00174CFE">
        <w:rPr>
          <w:rFonts w:ascii="Times New Roman" w:hAnsi="Times New Roman" w:cs="Times New Roman"/>
          <w:sz w:val="28"/>
          <w:szCs w:val="28"/>
          <w:lang w:val="ru-RU"/>
        </w:rPr>
        <w:t>вчинення</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яких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передбачено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довічне</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позбавлення</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волі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Такі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справи</w:t>
      </w:r>
      <w:proofErr w:type="spellEnd"/>
      <w:r w:rsidRPr="00174CFE">
        <w:rPr>
          <w:rFonts w:ascii="Times New Roman" w:hAnsi="Times New Roman" w:cs="Times New Roman"/>
          <w:sz w:val="28"/>
          <w:szCs w:val="28"/>
          <w:lang w:val="ru-RU"/>
        </w:rPr>
        <w:t xml:space="preserve"> за </w:t>
      </w:r>
      <w:proofErr w:type="spellStart"/>
      <w:r w:rsidRPr="00174CFE">
        <w:rPr>
          <w:rFonts w:ascii="Times New Roman" w:hAnsi="Times New Roman" w:cs="Times New Roman"/>
          <w:sz w:val="28"/>
          <w:szCs w:val="28"/>
          <w:lang w:val="ru-RU"/>
        </w:rPr>
        <w:t>клопотанням</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обвинуваченого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слухаються</w:t>
      </w:r>
      <w:proofErr w:type="spellEnd"/>
      <w:r w:rsidRPr="00174CFE">
        <w:rPr>
          <w:rFonts w:ascii="Times New Roman" w:hAnsi="Times New Roman" w:cs="Times New Roman"/>
          <w:sz w:val="28"/>
          <w:szCs w:val="28"/>
          <w:lang w:val="ru-RU"/>
        </w:rPr>
        <w:t xml:space="preserve"> судом </w:t>
      </w:r>
      <w:proofErr w:type="spellStart"/>
      <w:r w:rsidRPr="00174CFE">
        <w:rPr>
          <w:rFonts w:ascii="Times New Roman" w:hAnsi="Times New Roman" w:cs="Times New Roman"/>
          <w:sz w:val="28"/>
          <w:szCs w:val="28"/>
          <w:lang w:val="ru-RU"/>
        </w:rPr>
        <w:t>присяжних</w:t>
      </w:r>
      <w:proofErr w:type="spellEnd"/>
      <w:r w:rsidRPr="00174CFE">
        <w:rPr>
          <w:rFonts w:ascii="Times New Roman" w:hAnsi="Times New Roman" w:cs="Times New Roman"/>
          <w:sz w:val="28"/>
          <w:szCs w:val="28"/>
          <w:lang w:val="ru-RU"/>
        </w:rPr>
        <w:t xml:space="preserve"> у </w:t>
      </w:r>
      <w:proofErr w:type="spellStart"/>
      <w:r w:rsidRPr="00174CFE">
        <w:rPr>
          <w:rFonts w:ascii="Times New Roman" w:hAnsi="Times New Roman" w:cs="Times New Roman"/>
          <w:sz w:val="28"/>
          <w:szCs w:val="28"/>
          <w:lang w:val="ru-RU"/>
        </w:rPr>
        <w:t>складі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двох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професійних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суддів</w:t>
      </w:r>
      <w:proofErr w:type="spellEnd"/>
      <w:r w:rsidRPr="00174CFE">
        <w:rPr>
          <w:rFonts w:ascii="Times New Roman" w:hAnsi="Times New Roman" w:cs="Times New Roman"/>
          <w:sz w:val="28"/>
          <w:szCs w:val="28"/>
          <w:lang w:val="ru-RU"/>
        </w:rPr>
        <w:t xml:space="preserve"> та </w:t>
      </w:r>
      <w:proofErr w:type="spellStart"/>
      <w:r w:rsidRPr="00174CFE">
        <w:rPr>
          <w:rFonts w:ascii="Times New Roman" w:hAnsi="Times New Roman" w:cs="Times New Roman"/>
          <w:sz w:val="28"/>
          <w:szCs w:val="28"/>
          <w:lang w:val="ru-RU"/>
        </w:rPr>
        <w:t>трьох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присяжних</w:t>
      </w:r>
      <w:proofErr w:type="spellEnd"/>
      <w:r w:rsidRPr="00174CFE">
        <w:rPr>
          <w:rFonts w:ascii="Times New Roman" w:hAnsi="Times New Roman" w:cs="Times New Roman"/>
          <w:sz w:val="28"/>
          <w:szCs w:val="28"/>
          <w:lang w:val="ru-RU"/>
        </w:rPr>
        <w:t>.</w:t>
      </w:r>
    </w:p>
    <w:p w:rsidR="00FC4E76"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p>
    <w:p w:rsidR="00FC4E76"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p>
    <w:p w:rsidR="00FC4E76"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p>
    <w:p w:rsidR="00FC4E76" w:rsidRPr="00174CFE" w:rsidRDefault="00FC4E76" w:rsidP="00FC4E76">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p>
    <w:p w:rsidR="00FC4E76" w:rsidRPr="00174CFE" w:rsidRDefault="00FC4E76" w:rsidP="00FC4E76">
      <w:pPr>
        <w:suppressAutoHyphens/>
        <w:autoSpaceDN w:val="0"/>
        <w:spacing w:after="0" w:line="240" w:lineRule="auto"/>
        <w:jc w:val="both"/>
        <w:textAlignment w:val="baseline"/>
        <w:rPr>
          <w:rFonts w:ascii="Times New Roman" w:eastAsia="Times New Roman" w:hAnsi="Times New Roman" w:cs="Times New Roman"/>
          <w:b/>
          <w:i/>
          <w:iCs/>
          <w:color w:val="000000"/>
          <w:kern w:val="3"/>
          <w:sz w:val="28"/>
          <w:szCs w:val="28"/>
          <w:u w:val="single"/>
          <w:shd w:val="clear" w:color="auto" w:fill="FFFFFF"/>
          <w:lang w:eastAsia="ru-RU"/>
        </w:rPr>
      </w:pPr>
      <w:r w:rsidRPr="00174CFE">
        <w:rPr>
          <w:rFonts w:ascii="Times New Roman" w:eastAsia="Times New Roman" w:hAnsi="Times New Roman" w:cs="Times New Roman"/>
          <w:b/>
          <w:i/>
          <w:iCs/>
          <w:color w:val="000000"/>
          <w:kern w:val="3"/>
          <w:sz w:val="28"/>
          <w:szCs w:val="28"/>
          <w:u w:val="single"/>
          <w:shd w:val="clear" w:color="auto" w:fill="FFFFFF"/>
          <w:lang w:eastAsia="ru-RU"/>
        </w:rPr>
        <w:t>Гарантії прав присяжних</w:t>
      </w:r>
    </w:p>
    <w:p w:rsidR="00FC4E76" w:rsidRPr="00174CFE" w:rsidRDefault="00FC4E76" w:rsidP="00FC4E76">
      <w:pPr>
        <w:pStyle w:val="rvps2"/>
        <w:shd w:val="clear" w:color="auto" w:fill="FFFFFF"/>
        <w:tabs>
          <w:tab w:val="left" w:pos="851"/>
        </w:tabs>
        <w:spacing w:before="0" w:beforeAutospacing="0" w:after="0" w:afterAutospacing="0"/>
        <w:ind w:firstLine="567"/>
        <w:jc w:val="both"/>
        <w:rPr>
          <w:color w:val="000000"/>
          <w:sz w:val="28"/>
          <w:szCs w:val="28"/>
        </w:rPr>
      </w:pPr>
      <w:bookmarkStart w:id="0" w:name="n608"/>
      <w:bookmarkEnd w:id="0"/>
      <w:r w:rsidRPr="00174CFE">
        <w:rPr>
          <w:color w:val="000000"/>
          <w:sz w:val="28"/>
          <w:szCs w:val="28"/>
        </w:rPr>
        <w:t>Присяжним за час виконання ними обов’язків у суді виплачується винагорода.</w:t>
      </w:r>
    </w:p>
    <w:p w:rsidR="00FC4E76" w:rsidRDefault="00FC4E76" w:rsidP="00FC4E76">
      <w:pPr>
        <w:pStyle w:val="rvps2"/>
        <w:shd w:val="clear" w:color="auto" w:fill="FFFFFF"/>
        <w:spacing w:before="0" w:beforeAutospacing="0" w:after="0" w:afterAutospacing="0"/>
        <w:ind w:firstLine="567"/>
        <w:jc w:val="both"/>
        <w:rPr>
          <w:color w:val="000000"/>
          <w:sz w:val="28"/>
          <w:szCs w:val="28"/>
        </w:rPr>
      </w:pPr>
      <w:bookmarkStart w:id="1" w:name="n609"/>
      <w:bookmarkEnd w:id="1"/>
      <w:r w:rsidRPr="00174CFE">
        <w:rPr>
          <w:color w:val="000000"/>
          <w:sz w:val="28"/>
          <w:szCs w:val="28"/>
        </w:rPr>
        <w:lastRenderedPageBreak/>
        <w:t xml:space="preserve">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 </w:t>
      </w:r>
      <w:r>
        <w:rPr>
          <w:color w:val="000000"/>
          <w:sz w:val="28"/>
          <w:szCs w:val="28"/>
        </w:rPr>
        <w:t xml:space="preserve">    </w:t>
      </w:r>
    </w:p>
    <w:p w:rsidR="00FC4E76" w:rsidRPr="00174CFE" w:rsidRDefault="00FC4E76" w:rsidP="00FC4E76">
      <w:pPr>
        <w:pStyle w:val="rvps2"/>
        <w:shd w:val="clear" w:color="auto" w:fill="FFFFFF"/>
        <w:spacing w:before="0" w:beforeAutospacing="0" w:after="0" w:afterAutospacing="0"/>
        <w:ind w:firstLine="567"/>
        <w:jc w:val="both"/>
        <w:rPr>
          <w:color w:val="000000"/>
          <w:sz w:val="28"/>
          <w:szCs w:val="28"/>
        </w:rPr>
      </w:pPr>
      <w:r w:rsidRPr="00174CFE">
        <w:rPr>
          <w:color w:val="000000"/>
          <w:sz w:val="28"/>
          <w:szCs w:val="28"/>
        </w:rPr>
        <w:t>Звільнення присяжного з роботи або переведення на іншу роботу без його згоди під час виконання ним обов’язків у суді не допускається.</w:t>
      </w:r>
    </w:p>
    <w:p w:rsidR="00FC4E76" w:rsidRDefault="00FC4E76" w:rsidP="00FC4E76">
      <w:pPr>
        <w:pStyle w:val="rvps2"/>
        <w:shd w:val="clear" w:color="auto" w:fill="FFFFFF"/>
        <w:spacing w:before="0" w:beforeAutospacing="0" w:after="0" w:afterAutospacing="0"/>
        <w:ind w:firstLine="567"/>
        <w:jc w:val="both"/>
        <w:rPr>
          <w:color w:val="000000"/>
          <w:sz w:val="28"/>
          <w:szCs w:val="28"/>
        </w:rPr>
      </w:pPr>
      <w:bookmarkStart w:id="2" w:name="n610"/>
      <w:bookmarkEnd w:id="2"/>
      <w:r w:rsidRPr="00174CFE">
        <w:rPr>
          <w:color w:val="000000"/>
          <w:sz w:val="28"/>
          <w:szCs w:val="28"/>
        </w:rPr>
        <w:t>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FC4E76" w:rsidRPr="00174CFE" w:rsidRDefault="00FC4E76" w:rsidP="00FC4E76">
      <w:pPr>
        <w:pStyle w:val="rvps2"/>
        <w:shd w:val="clear" w:color="auto" w:fill="FFFFFF"/>
        <w:spacing w:before="0" w:beforeAutospacing="0" w:after="0" w:afterAutospacing="0"/>
        <w:ind w:firstLine="567"/>
        <w:jc w:val="both"/>
        <w:rPr>
          <w:color w:val="000000"/>
          <w:sz w:val="28"/>
          <w:szCs w:val="28"/>
        </w:rPr>
      </w:pPr>
    </w:p>
    <w:p w:rsidR="00FC4E76" w:rsidRPr="00174CFE" w:rsidRDefault="00FC4E76" w:rsidP="00FC4E76">
      <w:pPr>
        <w:shd w:val="clear" w:color="auto" w:fill="FFFFFF"/>
        <w:spacing w:after="0" w:line="240" w:lineRule="auto"/>
        <w:jc w:val="both"/>
        <w:rPr>
          <w:rFonts w:ascii="Times New Roman" w:hAnsi="Times New Roman" w:cs="Times New Roman"/>
          <w:b/>
          <w:i/>
          <w:kern w:val="3"/>
          <w:sz w:val="28"/>
          <w:szCs w:val="28"/>
          <w:u w:val="single"/>
        </w:rPr>
      </w:pPr>
      <w:r w:rsidRPr="00174CFE">
        <w:rPr>
          <w:rFonts w:ascii="Times New Roman" w:hAnsi="Times New Roman" w:cs="Times New Roman"/>
          <w:b/>
          <w:i/>
          <w:kern w:val="3"/>
          <w:sz w:val="28"/>
          <w:szCs w:val="28"/>
          <w:u w:val="single"/>
        </w:rPr>
        <w:t>Присяжні є суб’єктами декларування</w:t>
      </w:r>
    </w:p>
    <w:p w:rsidR="00FC4E76" w:rsidRDefault="00FC4E76" w:rsidP="00FC4E76">
      <w:pPr>
        <w:spacing w:after="0" w:line="240" w:lineRule="auto"/>
        <w:jc w:val="both"/>
      </w:pPr>
      <w:r>
        <w:rPr>
          <w:rFonts w:ascii="Times New Roman" w:hAnsi="Times New Roman" w:cs="Times New Roman"/>
          <w:color w:val="000000" w:themeColor="text1"/>
          <w:sz w:val="28"/>
          <w:szCs w:val="28"/>
          <w:shd w:val="clear" w:color="auto" w:fill="FFFFFF"/>
        </w:rPr>
        <w:t xml:space="preserve">        </w:t>
      </w:r>
      <w:r w:rsidRPr="00174CFE">
        <w:rPr>
          <w:rFonts w:ascii="Times New Roman" w:hAnsi="Times New Roman" w:cs="Times New Roman"/>
          <w:color w:val="000000" w:themeColor="text1"/>
          <w:sz w:val="28"/>
          <w:szCs w:val="28"/>
          <w:shd w:val="clear" w:color="auto" w:fill="FFFFFF"/>
        </w:rPr>
        <w:t>Відповідно до підпункту «ґ» пункту 1 статті 3 Закону України «Про запобігання корупції» до суб'єктів декларування та відповідальності за корупційні правопорушення відносяться присяжні (під час ви</w:t>
      </w:r>
      <w:r>
        <w:rPr>
          <w:rFonts w:ascii="Times New Roman" w:hAnsi="Times New Roman" w:cs="Times New Roman"/>
          <w:color w:val="000000" w:themeColor="text1"/>
          <w:sz w:val="28"/>
          <w:szCs w:val="28"/>
          <w:shd w:val="clear" w:color="auto" w:fill="FFFFFF"/>
        </w:rPr>
        <w:t>конання ними обов’язків у суді)</w:t>
      </w:r>
      <w:r w:rsidRPr="00174CFE">
        <w:rPr>
          <w:rFonts w:ascii="Times New Roman" w:hAnsi="Times New Roman" w:cs="Times New Roman"/>
          <w:color w:val="000000" w:themeColor="text1"/>
          <w:sz w:val="28"/>
          <w:szCs w:val="28"/>
          <w:shd w:val="clear" w:color="auto" w:fill="FFFFFF"/>
        </w:rPr>
        <w:t>.</w:t>
      </w:r>
    </w:p>
    <w:p w:rsidR="00FC4E76" w:rsidRPr="00155CB5" w:rsidRDefault="00FC4E76" w:rsidP="00FC4E76">
      <w:pPr>
        <w:spacing w:after="0" w:line="240" w:lineRule="auto"/>
        <w:jc w:val="both"/>
        <w:rPr>
          <w:rFonts w:ascii="Times New Roman" w:hAnsi="Times New Roman" w:cs="Times New Roman"/>
          <w:color w:val="000000" w:themeColor="text1"/>
          <w:sz w:val="28"/>
          <w:szCs w:val="28"/>
        </w:rPr>
      </w:pPr>
    </w:p>
    <w:p w:rsidR="00FC4E76" w:rsidRPr="00403B54" w:rsidRDefault="00FC4E76" w:rsidP="00FC4E76">
      <w:pPr>
        <w:pStyle w:val="rvps2"/>
        <w:shd w:val="clear" w:color="auto" w:fill="FFFFFF"/>
        <w:spacing w:before="0" w:beforeAutospacing="0" w:after="0" w:afterAutospacing="0"/>
        <w:ind w:firstLine="567"/>
        <w:jc w:val="both"/>
        <w:rPr>
          <w:b/>
          <w:color w:val="000000"/>
          <w:sz w:val="28"/>
          <w:szCs w:val="28"/>
        </w:rPr>
      </w:pPr>
      <w:r w:rsidRPr="00403B54">
        <w:rPr>
          <w:b/>
          <w:color w:val="000000"/>
          <w:sz w:val="28"/>
          <w:szCs w:val="28"/>
        </w:rPr>
        <w:t>ВАЖЛИВО:</w:t>
      </w:r>
    </w:p>
    <w:p w:rsidR="00FC4E76" w:rsidRDefault="00FC4E76" w:rsidP="00FC4E76">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403B54">
        <w:rPr>
          <w:color w:val="000000"/>
          <w:sz w:val="28"/>
          <w:szCs w:val="28"/>
        </w:rPr>
        <w:t xml:space="preserve"> Витяг з реєстру територіальної громади</w:t>
      </w:r>
      <w:r>
        <w:rPr>
          <w:color w:val="000000"/>
          <w:sz w:val="28"/>
          <w:szCs w:val="28"/>
        </w:rPr>
        <w:t xml:space="preserve"> можна отримати </w:t>
      </w:r>
      <w:r w:rsidRPr="00403B54">
        <w:rPr>
          <w:color w:val="000000"/>
          <w:sz w:val="28"/>
          <w:szCs w:val="28"/>
        </w:rPr>
        <w:t>звернувшись до Центру надання адміністративних послуг або через портал Дія за посиланням:</w:t>
      </w:r>
      <w:r w:rsidRPr="00D2009D">
        <w:t xml:space="preserve"> </w:t>
      </w:r>
      <w:hyperlink r:id="rId5" w:history="1">
        <w:r w:rsidRPr="00F0423E">
          <w:rPr>
            <w:rStyle w:val="a3"/>
            <w:sz w:val="28"/>
            <w:szCs w:val="28"/>
          </w:rPr>
          <w:t>https://diia.gov.ua/services/vityag-z-reyestru-teritorialnoyi-gromadi</w:t>
        </w:r>
      </w:hyperlink>
      <w:r>
        <w:rPr>
          <w:color w:val="000000"/>
          <w:sz w:val="28"/>
          <w:szCs w:val="28"/>
        </w:rPr>
        <w:t xml:space="preserve"> </w:t>
      </w:r>
    </w:p>
    <w:p w:rsidR="00FC4E76" w:rsidRDefault="00FC4E76" w:rsidP="00FC4E76">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403B54">
        <w:rPr>
          <w:color w:val="000000"/>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 xml:space="preserve">: </w:t>
      </w:r>
      <w:hyperlink r:id="rId6" w:history="1">
        <w:r w:rsidRPr="00F0423E">
          <w:rPr>
            <w:rStyle w:val="a3"/>
            <w:sz w:val="28"/>
            <w:szCs w:val="28"/>
          </w:rPr>
          <w:t>https://vytiah.mvs.gov.ua/app/landing</w:t>
        </w:r>
      </w:hyperlink>
      <w:r>
        <w:rPr>
          <w:color w:val="000000"/>
          <w:sz w:val="28"/>
          <w:szCs w:val="28"/>
        </w:rPr>
        <w:t xml:space="preserve"> </w:t>
      </w:r>
    </w:p>
    <w:p w:rsidR="00FC4E76" w:rsidRDefault="00FC4E76" w:rsidP="00FC4E76">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сайті: </w:t>
      </w:r>
      <w:hyperlink r:id="rId7" w:history="1">
        <w:r w:rsidRPr="00F0423E">
          <w:rPr>
            <w:rStyle w:val="a3"/>
            <w:sz w:val="28"/>
            <w:szCs w:val="28"/>
          </w:rPr>
          <w:t>https://corruptinfo.nazk.gov.ua/main/reference/list</w:t>
        </w:r>
      </w:hyperlink>
      <w:r>
        <w:rPr>
          <w:color w:val="000000"/>
          <w:sz w:val="28"/>
          <w:szCs w:val="28"/>
        </w:rPr>
        <w:t xml:space="preserve"> </w:t>
      </w:r>
    </w:p>
    <w:p w:rsidR="00833604" w:rsidRDefault="00833604">
      <w:bookmarkStart w:id="3" w:name="_GoBack"/>
      <w:bookmarkEnd w:id="3"/>
    </w:p>
    <w:sectPr w:rsidR="008336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B12"/>
    <w:multiLevelType w:val="multilevel"/>
    <w:tmpl w:val="3CB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86"/>
          </w:tabs>
          <w:ind w:left="786"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1B"/>
    <w:rsid w:val="00833604"/>
    <w:rsid w:val="00C3011B"/>
    <w:rsid w:val="00FC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8E2AC-974D-4E2D-80CA-B890ADA8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7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C4E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FC4E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ruptinfo.nazk.gov.ua/main/referenc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ytiah.mvs.gov.ua/app/landing" TargetMode="External"/><Relationship Id="rId5" Type="http://schemas.openxmlformats.org/officeDocument/2006/relationships/hyperlink" Target="https://diia.gov.ua/services/vityag-z-reyestru-teritorialnoyi-groma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Шіошвілі Світлана Володимирівна</dc:creator>
  <cp:keywords/>
  <dc:description/>
  <cp:lastModifiedBy>Шіошвілі Світлана Володимирівна</cp:lastModifiedBy>
  <cp:revision>2</cp:revision>
  <dcterms:created xsi:type="dcterms:W3CDTF">2023-02-10T13:00:00Z</dcterms:created>
  <dcterms:modified xsi:type="dcterms:W3CDTF">2023-02-10T13:00:00Z</dcterms:modified>
</cp:coreProperties>
</file>