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10" w:rsidRPr="00DF482C" w:rsidRDefault="00DF482C" w:rsidP="00DF482C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Інформація щодо розмірів планованих тарифів плати за утримання будинків і споруд та прибудинкових</w:t>
      </w:r>
      <w:r w:rsidR="00082BF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т</w:t>
      </w:r>
      <w:r w:rsidR="00082BFE">
        <w:rPr>
          <w:rFonts w:ascii="Times New Roman" w:hAnsi="Times New Roman" w:cs="Times New Roman"/>
          <w:b/>
          <w:i/>
          <w:sz w:val="32"/>
          <w:szCs w:val="32"/>
          <w:lang w:val="uk-UA"/>
        </w:rPr>
        <w:t>е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риторій по </w:t>
      </w:r>
      <w:r w:rsidR="00E00710" w:rsidRPr="00DF482C">
        <w:rPr>
          <w:rFonts w:ascii="Times New Roman" w:hAnsi="Times New Roman" w:cs="Times New Roman"/>
          <w:b/>
          <w:i/>
          <w:sz w:val="32"/>
          <w:szCs w:val="32"/>
          <w:lang w:val="uk-UA"/>
        </w:rPr>
        <w:t>житлово</w:t>
      </w:r>
      <w:r w:rsidRPr="00DF482C">
        <w:rPr>
          <w:rFonts w:ascii="Times New Roman" w:hAnsi="Times New Roman" w:cs="Times New Roman"/>
          <w:b/>
          <w:i/>
          <w:sz w:val="32"/>
          <w:szCs w:val="32"/>
          <w:lang w:val="uk-UA"/>
        </w:rPr>
        <w:t>му</w:t>
      </w:r>
      <w:r w:rsidR="00E00710" w:rsidRPr="00DF482C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будинку № 7А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на</w:t>
      </w:r>
      <w:r w:rsidR="00E00710" w:rsidRPr="00DF482C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вулиці Михайла Максимовича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, періодичності та строків надання послуг</w:t>
      </w:r>
    </w:p>
    <w:p w:rsidR="00E00710" w:rsidRDefault="00E00710" w:rsidP="00E00710">
      <w:pPr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0710" w:rsidRPr="00E00710" w:rsidRDefault="004F18A9" w:rsidP="00E0071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Комунальне п</w:t>
      </w:r>
      <w:r w:rsidR="00E00710" w:rsidRPr="00E00710">
        <w:rPr>
          <w:rFonts w:ascii="Times New Roman" w:hAnsi="Times New Roman" w:cs="Times New Roman"/>
          <w:sz w:val="26"/>
          <w:szCs w:val="26"/>
          <w:lang w:val="uk-UA"/>
        </w:rPr>
        <w:t xml:space="preserve">ідприємство «Керуюча компанія з обслуговування житлового фонду Голосіївського району м. Києва»  здійснило попередні розрахунки тарифів плати за утримання будинків, споруд та прибудинкових територій по житловому будинку № 7А на вул. </w:t>
      </w:r>
      <w:proofErr w:type="spellStart"/>
      <w:r w:rsidR="00E00710" w:rsidRPr="00E00710">
        <w:rPr>
          <w:rFonts w:ascii="Times New Roman" w:hAnsi="Times New Roman" w:cs="Times New Roman"/>
          <w:sz w:val="26"/>
          <w:szCs w:val="26"/>
        </w:rPr>
        <w:t>Михайла</w:t>
      </w:r>
      <w:proofErr w:type="spellEnd"/>
      <w:r w:rsidR="00E00710" w:rsidRPr="00E00710">
        <w:rPr>
          <w:rFonts w:ascii="Times New Roman" w:hAnsi="Times New Roman" w:cs="Times New Roman"/>
          <w:sz w:val="26"/>
          <w:szCs w:val="26"/>
        </w:rPr>
        <w:t xml:space="preserve"> Максимовича </w:t>
      </w:r>
      <w:proofErr w:type="spellStart"/>
      <w:r w:rsidR="00E00710" w:rsidRPr="00E00710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="00E00710" w:rsidRPr="00E00710">
        <w:rPr>
          <w:rFonts w:ascii="Times New Roman" w:hAnsi="Times New Roman" w:cs="Times New Roman"/>
          <w:sz w:val="26"/>
          <w:szCs w:val="26"/>
        </w:rPr>
        <w:t xml:space="preserve"> до Порядку </w:t>
      </w:r>
      <w:proofErr w:type="spellStart"/>
      <w:r w:rsidR="00E00710" w:rsidRPr="00E00710">
        <w:rPr>
          <w:rFonts w:ascii="Times New Roman" w:hAnsi="Times New Roman" w:cs="Times New Roman"/>
          <w:sz w:val="26"/>
          <w:szCs w:val="26"/>
        </w:rPr>
        <w:t>формування</w:t>
      </w:r>
      <w:proofErr w:type="spellEnd"/>
      <w:r w:rsidR="00E00710" w:rsidRPr="00E007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710" w:rsidRPr="00E00710">
        <w:rPr>
          <w:rFonts w:ascii="Times New Roman" w:hAnsi="Times New Roman" w:cs="Times New Roman"/>
          <w:sz w:val="26"/>
          <w:szCs w:val="26"/>
        </w:rPr>
        <w:t>тарифів</w:t>
      </w:r>
      <w:proofErr w:type="spellEnd"/>
      <w:r w:rsidR="00E00710" w:rsidRPr="00E00710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E00710" w:rsidRPr="00E00710">
        <w:rPr>
          <w:rFonts w:ascii="Times New Roman" w:hAnsi="Times New Roman" w:cs="Times New Roman"/>
          <w:sz w:val="26"/>
          <w:szCs w:val="26"/>
        </w:rPr>
        <w:t>послуги</w:t>
      </w:r>
      <w:proofErr w:type="spellEnd"/>
      <w:r w:rsidR="00E00710" w:rsidRPr="00E00710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="00E00710" w:rsidRPr="00E00710">
        <w:rPr>
          <w:rFonts w:ascii="Times New Roman" w:hAnsi="Times New Roman" w:cs="Times New Roman"/>
          <w:sz w:val="26"/>
          <w:szCs w:val="26"/>
        </w:rPr>
        <w:t>утримання</w:t>
      </w:r>
      <w:proofErr w:type="spellEnd"/>
      <w:r w:rsidR="00E00710" w:rsidRPr="00E007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710" w:rsidRPr="00E00710">
        <w:rPr>
          <w:rFonts w:ascii="Times New Roman" w:hAnsi="Times New Roman" w:cs="Times New Roman"/>
          <w:sz w:val="26"/>
          <w:szCs w:val="26"/>
        </w:rPr>
        <w:t>будинків</w:t>
      </w:r>
      <w:proofErr w:type="spellEnd"/>
      <w:r w:rsidR="00E00710" w:rsidRPr="00E00710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="00E00710" w:rsidRPr="00E00710">
        <w:rPr>
          <w:rFonts w:ascii="Times New Roman" w:hAnsi="Times New Roman" w:cs="Times New Roman"/>
          <w:sz w:val="26"/>
          <w:szCs w:val="26"/>
        </w:rPr>
        <w:t>споруд</w:t>
      </w:r>
      <w:proofErr w:type="spellEnd"/>
      <w:r w:rsidR="00E00710" w:rsidRPr="00E00710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E00710" w:rsidRPr="00E00710">
        <w:rPr>
          <w:rFonts w:ascii="Times New Roman" w:hAnsi="Times New Roman" w:cs="Times New Roman"/>
          <w:sz w:val="26"/>
          <w:szCs w:val="26"/>
        </w:rPr>
        <w:t>прибудинкових</w:t>
      </w:r>
      <w:proofErr w:type="spellEnd"/>
      <w:r w:rsidR="00E00710" w:rsidRPr="00E007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710" w:rsidRPr="00E00710">
        <w:rPr>
          <w:rFonts w:ascii="Times New Roman" w:hAnsi="Times New Roman" w:cs="Times New Roman"/>
          <w:sz w:val="26"/>
          <w:szCs w:val="26"/>
        </w:rPr>
        <w:t>територій</w:t>
      </w:r>
      <w:proofErr w:type="spellEnd"/>
      <w:r w:rsidR="00E00710" w:rsidRPr="00E007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0710" w:rsidRPr="00E00710">
        <w:rPr>
          <w:rFonts w:ascii="Times New Roman" w:hAnsi="Times New Roman" w:cs="Times New Roman"/>
          <w:sz w:val="26"/>
          <w:szCs w:val="26"/>
        </w:rPr>
        <w:t>затвердженого</w:t>
      </w:r>
      <w:proofErr w:type="spellEnd"/>
      <w:r w:rsidR="00E00710" w:rsidRPr="00E007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710" w:rsidRPr="00E00710">
        <w:rPr>
          <w:rFonts w:ascii="Times New Roman" w:hAnsi="Times New Roman" w:cs="Times New Roman"/>
          <w:sz w:val="26"/>
          <w:szCs w:val="26"/>
        </w:rPr>
        <w:t>Постановою</w:t>
      </w:r>
      <w:proofErr w:type="spellEnd"/>
      <w:r w:rsidR="00E00710" w:rsidRPr="00E007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710" w:rsidRPr="00E00710">
        <w:rPr>
          <w:rFonts w:ascii="Times New Roman" w:hAnsi="Times New Roman" w:cs="Times New Roman"/>
          <w:sz w:val="26"/>
          <w:szCs w:val="26"/>
        </w:rPr>
        <w:t>Кабінету</w:t>
      </w:r>
      <w:proofErr w:type="spellEnd"/>
      <w:r w:rsidR="00E00710" w:rsidRPr="00E007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710" w:rsidRPr="00E00710">
        <w:rPr>
          <w:rFonts w:ascii="Times New Roman" w:hAnsi="Times New Roman" w:cs="Times New Roman"/>
          <w:sz w:val="26"/>
          <w:szCs w:val="26"/>
        </w:rPr>
        <w:t>Міні</w:t>
      </w:r>
      <w:proofErr w:type="gramStart"/>
      <w:r w:rsidR="00E00710" w:rsidRPr="00E00710">
        <w:rPr>
          <w:rFonts w:ascii="Times New Roman" w:hAnsi="Times New Roman" w:cs="Times New Roman"/>
          <w:sz w:val="26"/>
          <w:szCs w:val="26"/>
        </w:rPr>
        <w:t>стр</w:t>
      </w:r>
      <w:proofErr w:type="gramEnd"/>
      <w:r w:rsidR="00E00710" w:rsidRPr="00E00710">
        <w:rPr>
          <w:rFonts w:ascii="Times New Roman" w:hAnsi="Times New Roman" w:cs="Times New Roman"/>
          <w:sz w:val="26"/>
          <w:szCs w:val="26"/>
        </w:rPr>
        <w:t>ів</w:t>
      </w:r>
      <w:proofErr w:type="spellEnd"/>
      <w:r w:rsidR="00E00710" w:rsidRPr="00E007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710" w:rsidRPr="00E00710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="00E00710" w:rsidRPr="00E007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710" w:rsidRPr="00E00710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="00E00710" w:rsidRPr="00E00710">
        <w:rPr>
          <w:rFonts w:ascii="Times New Roman" w:hAnsi="Times New Roman" w:cs="Times New Roman"/>
          <w:sz w:val="26"/>
          <w:szCs w:val="26"/>
        </w:rPr>
        <w:t xml:space="preserve"> 01.06.2011 № 869 </w:t>
      </w:r>
      <w:proofErr w:type="spellStart"/>
      <w:r w:rsidR="00E00710" w:rsidRPr="00E00710">
        <w:rPr>
          <w:rFonts w:ascii="Times New Roman" w:hAnsi="Times New Roman" w:cs="Times New Roman"/>
          <w:sz w:val="26"/>
          <w:szCs w:val="26"/>
        </w:rPr>
        <w:t>зі</w:t>
      </w:r>
      <w:proofErr w:type="spellEnd"/>
      <w:r w:rsidR="00E00710" w:rsidRPr="00E007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710" w:rsidRPr="00E00710">
        <w:rPr>
          <w:rFonts w:ascii="Times New Roman" w:hAnsi="Times New Roman" w:cs="Times New Roman"/>
          <w:sz w:val="26"/>
          <w:szCs w:val="26"/>
        </w:rPr>
        <w:t>змінами</w:t>
      </w:r>
      <w:proofErr w:type="spellEnd"/>
      <w:r w:rsidR="00E00710" w:rsidRPr="00E007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0710" w:rsidRPr="00E00710">
        <w:rPr>
          <w:rFonts w:ascii="Times New Roman" w:hAnsi="Times New Roman" w:cs="Times New Roman"/>
          <w:sz w:val="26"/>
          <w:szCs w:val="26"/>
        </w:rPr>
        <w:t>внесеними</w:t>
      </w:r>
      <w:proofErr w:type="spellEnd"/>
      <w:r w:rsidR="00E00710" w:rsidRPr="00E007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710" w:rsidRPr="00E00710">
        <w:rPr>
          <w:rFonts w:ascii="Times New Roman" w:hAnsi="Times New Roman" w:cs="Times New Roman"/>
          <w:sz w:val="26"/>
          <w:szCs w:val="26"/>
        </w:rPr>
        <w:t>постановою</w:t>
      </w:r>
      <w:proofErr w:type="spellEnd"/>
      <w:r w:rsidR="00E00710" w:rsidRPr="00E007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710" w:rsidRPr="00E00710">
        <w:rPr>
          <w:rFonts w:ascii="Times New Roman" w:hAnsi="Times New Roman" w:cs="Times New Roman"/>
          <w:sz w:val="26"/>
          <w:szCs w:val="26"/>
        </w:rPr>
        <w:t>Кабінету</w:t>
      </w:r>
      <w:proofErr w:type="spellEnd"/>
      <w:r w:rsidR="00E00710" w:rsidRPr="00E007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710" w:rsidRPr="00E00710">
        <w:rPr>
          <w:rFonts w:ascii="Times New Roman" w:hAnsi="Times New Roman" w:cs="Times New Roman"/>
          <w:sz w:val="26"/>
          <w:szCs w:val="26"/>
        </w:rPr>
        <w:t>Міністрів</w:t>
      </w:r>
      <w:proofErr w:type="spellEnd"/>
      <w:r w:rsidR="00E00710" w:rsidRPr="00E007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710" w:rsidRPr="00E00710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="00E00710" w:rsidRPr="00E007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710" w:rsidRPr="00E00710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="00E00710" w:rsidRPr="00E00710">
        <w:rPr>
          <w:rFonts w:ascii="Times New Roman" w:hAnsi="Times New Roman" w:cs="Times New Roman"/>
          <w:sz w:val="26"/>
          <w:szCs w:val="26"/>
        </w:rPr>
        <w:t xml:space="preserve"> 17.07.2015 № 515.</w:t>
      </w:r>
    </w:p>
    <w:p w:rsidR="00E00710" w:rsidRPr="00E00710" w:rsidRDefault="00E00710" w:rsidP="00E00710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E00710">
        <w:rPr>
          <w:rFonts w:ascii="Times New Roman" w:hAnsi="Times New Roman" w:cs="Times New Roman"/>
          <w:sz w:val="26"/>
          <w:szCs w:val="26"/>
          <w:lang w:val="uk-UA"/>
        </w:rPr>
        <w:t>При виконанні розрахунків було враховано тарифи на електроенергію в  розмірі 1,4 грн. без ПДВ  за кВт, мінімальну тарифну ставку (посадовий оклад) в розмірі 1684 грн., мінімальну заробітну плату в розмірі 3200 гривень, вартість матеріалів, запчастин, інструменту, спецодягу, пального  згідно діючих на даний час цін.</w:t>
      </w:r>
    </w:p>
    <w:p w:rsidR="00E00710" w:rsidRPr="00E00710" w:rsidRDefault="00E00710" w:rsidP="00E00710">
      <w:pPr>
        <w:spacing w:after="0"/>
        <w:ind w:left="180" w:hanging="18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00710" w:rsidRPr="00E00710" w:rsidRDefault="00E00710" w:rsidP="00E00710">
      <w:pPr>
        <w:spacing w:after="0"/>
        <w:ind w:left="180" w:hanging="18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0710">
        <w:rPr>
          <w:rFonts w:ascii="Times New Roman" w:hAnsi="Times New Roman" w:cs="Times New Roman"/>
          <w:sz w:val="26"/>
          <w:szCs w:val="26"/>
          <w:lang w:val="uk-UA"/>
        </w:rPr>
        <w:t>Згідно проведеного розрахунку на послуги тариф становить:</w:t>
      </w:r>
      <w:r w:rsidRPr="00E0071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E00710" w:rsidRPr="00E00710" w:rsidRDefault="00E00710" w:rsidP="00E00710">
      <w:pPr>
        <w:spacing w:after="0"/>
        <w:ind w:left="180" w:hanging="18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0710">
        <w:rPr>
          <w:rFonts w:ascii="Times New Roman" w:hAnsi="Times New Roman" w:cs="Times New Roman"/>
          <w:b/>
          <w:sz w:val="26"/>
          <w:szCs w:val="26"/>
          <w:lang w:val="uk-UA"/>
        </w:rPr>
        <w:t>З оплатою до 20 числа:</w:t>
      </w:r>
    </w:p>
    <w:p w:rsidR="00E00710" w:rsidRPr="00E00710" w:rsidRDefault="00E00710" w:rsidP="00E00710">
      <w:pPr>
        <w:spacing w:after="0"/>
        <w:ind w:left="180" w:hanging="18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0710">
        <w:rPr>
          <w:rFonts w:ascii="Times New Roman" w:hAnsi="Times New Roman" w:cs="Times New Roman"/>
          <w:b/>
          <w:sz w:val="26"/>
          <w:szCs w:val="26"/>
          <w:lang w:val="uk-UA"/>
        </w:rPr>
        <w:t>6,29 грн.</w:t>
      </w:r>
      <w:r w:rsidRPr="00E00710">
        <w:rPr>
          <w:rFonts w:ascii="Times New Roman" w:hAnsi="Times New Roman" w:cs="Times New Roman"/>
          <w:sz w:val="26"/>
          <w:szCs w:val="26"/>
          <w:lang w:val="uk-UA"/>
        </w:rPr>
        <w:t xml:space="preserve"> за 1 кв. м – для квартир вище першого поверху;</w:t>
      </w:r>
      <w:r w:rsidRPr="00E0071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E00710" w:rsidRPr="00E00710" w:rsidRDefault="00E00710" w:rsidP="00E00710">
      <w:pPr>
        <w:spacing w:after="0"/>
        <w:ind w:left="180" w:hanging="180"/>
        <w:rPr>
          <w:rFonts w:ascii="Times New Roman" w:hAnsi="Times New Roman" w:cs="Times New Roman"/>
          <w:sz w:val="26"/>
          <w:szCs w:val="26"/>
        </w:rPr>
      </w:pPr>
      <w:r w:rsidRPr="00E00710">
        <w:rPr>
          <w:rFonts w:ascii="Times New Roman" w:hAnsi="Times New Roman" w:cs="Times New Roman"/>
          <w:b/>
          <w:sz w:val="26"/>
          <w:szCs w:val="26"/>
          <w:lang w:val="uk-UA"/>
        </w:rPr>
        <w:t>5,32  грн.</w:t>
      </w:r>
      <w:r w:rsidRPr="00E00710">
        <w:rPr>
          <w:rFonts w:ascii="Times New Roman" w:hAnsi="Times New Roman" w:cs="Times New Roman"/>
          <w:sz w:val="26"/>
          <w:szCs w:val="26"/>
          <w:lang w:val="uk-UA"/>
        </w:rPr>
        <w:t xml:space="preserve"> за 1 кв. м </w:t>
      </w:r>
      <w:r w:rsidR="004F18A9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E00710">
        <w:rPr>
          <w:rFonts w:ascii="Times New Roman" w:hAnsi="Times New Roman" w:cs="Times New Roman"/>
          <w:sz w:val="26"/>
          <w:szCs w:val="26"/>
          <w:lang w:val="uk-UA"/>
        </w:rPr>
        <w:t xml:space="preserve"> для квартир першого поверху</w:t>
      </w:r>
    </w:p>
    <w:p w:rsidR="00E00710" w:rsidRPr="00E00710" w:rsidRDefault="00E00710" w:rsidP="00E00710">
      <w:pPr>
        <w:spacing w:after="0"/>
        <w:ind w:left="180" w:hanging="180"/>
        <w:rPr>
          <w:rFonts w:ascii="Times New Roman" w:hAnsi="Times New Roman" w:cs="Times New Roman"/>
          <w:sz w:val="26"/>
          <w:szCs w:val="26"/>
          <w:lang w:val="uk-UA"/>
        </w:rPr>
      </w:pPr>
      <w:r w:rsidRPr="00E00710">
        <w:rPr>
          <w:rFonts w:ascii="Times New Roman" w:hAnsi="Times New Roman" w:cs="Times New Roman"/>
          <w:b/>
          <w:sz w:val="26"/>
          <w:szCs w:val="26"/>
          <w:lang w:val="uk-UA"/>
        </w:rPr>
        <w:t>З оплатою після 20 числа:</w:t>
      </w:r>
    </w:p>
    <w:p w:rsidR="00E00710" w:rsidRPr="00E00710" w:rsidRDefault="00E00710" w:rsidP="00E00710">
      <w:pPr>
        <w:spacing w:after="0"/>
        <w:ind w:left="180" w:hanging="18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0710">
        <w:rPr>
          <w:rFonts w:ascii="Times New Roman" w:hAnsi="Times New Roman" w:cs="Times New Roman"/>
          <w:b/>
          <w:sz w:val="26"/>
          <w:szCs w:val="26"/>
          <w:lang w:val="uk-UA"/>
        </w:rPr>
        <w:t>6,92  грн.</w:t>
      </w:r>
      <w:r w:rsidRPr="00E00710">
        <w:rPr>
          <w:rFonts w:ascii="Times New Roman" w:hAnsi="Times New Roman" w:cs="Times New Roman"/>
          <w:sz w:val="26"/>
          <w:szCs w:val="26"/>
          <w:lang w:val="uk-UA"/>
        </w:rPr>
        <w:t xml:space="preserve"> за 1 кв. м – для квартир вище першого поверху;</w:t>
      </w:r>
      <w:r w:rsidRPr="00E0071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E00710" w:rsidRPr="00E00710" w:rsidRDefault="00E00710" w:rsidP="00E00710">
      <w:pPr>
        <w:spacing w:after="0"/>
        <w:ind w:left="180" w:hanging="180"/>
        <w:rPr>
          <w:rFonts w:ascii="Times New Roman" w:hAnsi="Times New Roman" w:cs="Times New Roman"/>
          <w:sz w:val="26"/>
          <w:szCs w:val="26"/>
          <w:lang w:val="uk-UA"/>
        </w:rPr>
      </w:pPr>
      <w:r w:rsidRPr="00E00710">
        <w:rPr>
          <w:rFonts w:ascii="Times New Roman" w:hAnsi="Times New Roman" w:cs="Times New Roman"/>
          <w:b/>
          <w:sz w:val="26"/>
          <w:szCs w:val="26"/>
          <w:lang w:val="uk-UA"/>
        </w:rPr>
        <w:t>5,85  грн.</w:t>
      </w:r>
      <w:r w:rsidRPr="00E00710">
        <w:rPr>
          <w:rFonts w:ascii="Times New Roman" w:hAnsi="Times New Roman" w:cs="Times New Roman"/>
          <w:sz w:val="26"/>
          <w:szCs w:val="26"/>
          <w:lang w:val="uk-UA"/>
        </w:rPr>
        <w:t xml:space="preserve"> за 1 кв. м </w:t>
      </w:r>
      <w:r w:rsidR="004F18A9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E00710">
        <w:rPr>
          <w:rFonts w:ascii="Times New Roman" w:hAnsi="Times New Roman" w:cs="Times New Roman"/>
          <w:sz w:val="26"/>
          <w:szCs w:val="26"/>
          <w:lang w:val="uk-UA"/>
        </w:rPr>
        <w:t xml:space="preserve"> для квартир першого поверху.</w:t>
      </w:r>
    </w:p>
    <w:p w:rsidR="00E00710" w:rsidRPr="00E00710" w:rsidRDefault="00E00710" w:rsidP="00E00710">
      <w:pPr>
        <w:spacing w:after="0"/>
        <w:ind w:left="180" w:hanging="18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00710" w:rsidRPr="00E00710" w:rsidRDefault="00E00710" w:rsidP="00E007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0710">
        <w:rPr>
          <w:rFonts w:ascii="Times New Roman" w:hAnsi="Times New Roman" w:cs="Times New Roman"/>
          <w:sz w:val="26"/>
          <w:szCs w:val="26"/>
          <w:lang w:val="uk-UA"/>
        </w:rPr>
        <w:t>Структура тарифу на послуги, періодичність та строки надання послуг додаються у додатках №1, №2.</w:t>
      </w:r>
    </w:p>
    <w:p w:rsidR="00E00710" w:rsidRPr="00E00710" w:rsidRDefault="00E00710" w:rsidP="00E007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0710">
        <w:rPr>
          <w:rFonts w:ascii="Times New Roman" w:hAnsi="Times New Roman" w:cs="Times New Roman"/>
          <w:sz w:val="26"/>
          <w:szCs w:val="26"/>
          <w:lang w:val="uk-UA"/>
        </w:rPr>
        <w:t>Пропозиції та зауваження просимо надсилати в термін до</w:t>
      </w:r>
      <w:r w:rsidR="00DA67A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837C2">
        <w:rPr>
          <w:rFonts w:ascii="Times New Roman" w:hAnsi="Times New Roman" w:cs="Times New Roman"/>
          <w:sz w:val="26"/>
          <w:szCs w:val="26"/>
          <w:lang w:val="uk-UA"/>
        </w:rPr>
        <w:t>28.12</w:t>
      </w:r>
      <w:r w:rsidRPr="00E00710">
        <w:rPr>
          <w:rFonts w:ascii="Times New Roman" w:hAnsi="Times New Roman" w:cs="Times New Roman"/>
          <w:sz w:val="26"/>
          <w:szCs w:val="26"/>
          <w:lang w:val="uk-UA"/>
        </w:rPr>
        <w:t>.2017 на адресу: 03039, м. Київ, пр.</w:t>
      </w:r>
      <w:r w:rsidRPr="00E00710">
        <w:rPr>
          <w:rFonts w:ascii="Times New Roman" w:hAnsi="Times New Roman" w:cs="Times New Roman"/>
          <w:sz w:val="26"/>
          <w:szCs w:val="26"/>
        </w:rPr>
        <w:t xml:space="preserve"> </w:t>
      </w:r>
      <w:r w:rsidRPr="00E00710">
        <w:rPr>
          <w:rFonts w:ascii="Times New Roman" w:hAnsi="Times New Roman" w:cs="Times New Roman"/>
          <w:sz w:val="26"/>
          <w:szCs w:val="26"/>
          <w:lang w:val="uk-UA"/>
        </w:rPr>
        <w:t xml:space="preserve">Голосіївський, буд. 17-б, тел. 525-19-63;525-12-66; електронна адреса: </w:t>
      </w:r>
      <w:proofErr w:type="spellStart"/>
      <w:r w:rsidRPr="00E00710">
        <w:rPr>
          <w:rFonts w:ascii="Times New Roman" w:hAnsi="Times New Roman" w:cs="Times New Roman"/>
          <w:b/>
          <w:i/>
          <w:sz w:val="26"/>
          <w:szCs w:val="26"/>
          <w:lang w:val="en-US"/>
        </w:rPr>
        <w:t>direktsiya</w:t>
      </w:r>
      <w:proofErr w:type="spellEnd"/>
      <w:r w:rsidRPr="00E00710">
        <w:rPr>
          <w:rFonts w:ascii="Times New Roman" w:hAnsi="Times New Roman" w:cs="Times New Roman"/>
          <w:b/>
          <w:bCs/>
          <w:i/>
          <w:sz w:val="26"/>
          <w:szCs w:val="26"/>
        </w:rPr>
        <w:t>@</w:t>
      </w:r>
      <w:proofErr w:type="spellStart"/>
      <w:r w:rsidRPr="00E00710">
        <w:rPr>
          <w:rFonts w:ascii="Times New Roman" w:hAnsi="Times New Roman" w:cs="Times New Roman"/>
          <w:b/>
          <w:bCs/>
          <w:i/>
          <w:sz w:val="26"/>
          <w:szCs w:val="26"/>
          <w:lang w:val="en-US"/>
        </w:rPr>
        <w:t>golosiiv</w:t>
      </w:r>
      <w:proofErr w:type="spellEnd"/>
      <w:r w:rsidRPr="00E00710">
        <w:rPr>
          <w:rFonts w:ascii="Times New Roman" w:hAnsi="Times New Roman" w:cs="Times New Roman"/>
          <w:b/>
          <w:bCs/>
          <w:i/>
          <w:sz w:val="26"/>
          <w:szCs w:val="26"/>
        </w:rPr>
        <w:t>.</w:t>
      </w:r>
      <w:proofErr w:type="spellStart"/>
      <w:r w:rsidRPr="00E00710">
        <w:rPr>
          <w:rFonts w:ascii="Times New Roman" w:hAnsi="Times New Roman" w:cs="Times New Roman"/>
          <w:b/>
          <w:bCs/>
          <w:i/>
          <w:sz w:val="26"/>
          <w:szCs w:val="26"/>
          <w:lang w:val="en-US"/>
        </w:rPr>
        <w:t>gov</w:t>
      </w:r>
      <w:proofErr w:type="spellEnd"/>
      <w:r w:rsidRPr="00E00710">
        <w:rPr>
          <w:rFonts w:ascii="Times New Roman" w:hAnsi="Times New Roman" w:cs="Times New Roman"/>
          <w:b/>
          <w:bCs/>
          <w:i/>
          <w:sz w:val="26"/>
          <w:szCs w:val="26"/>
        </w:rPr>
        <w:t>.</w:t>
      </w:r>
      <w:proofErr w:type="spellStart"/>
      <w:r w:rsidRPr="00E00710">
        <w:rPr>
          <w:rFonts w:ascii="Times New Roman" w:hAnsi="Times New Roman" w:cs="Times New Roman"/>
          <w:b/>
          <w:bCs/>
          <w:i/>
          <w:sz w:val="26"/>
          <w:szCs w:val="26"/>
          <w:lang w:val="en-US"/>
        </w:rPr>
        <w:t>ua</w:t>
      </w:r>
      <w:proofErr w:type="spellEnd"/>
    </w:p>
    <w:p w:rsidR="00E00710" w:rsidRPr="00E00710" w:rsidRDefault="00E00710" w:rsidP="00E00710">
      <w:pPr>
        <w:spacing w:after="0"/>
        <w:ind w:left="180" w:hanging="18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00710" w:rsidRPr="00E00710" w:rsidRDefault="00E00710" w:rsidP="00E00710">
      <w:pPr>
        <w:spacing w:after="0"/>
        <w:ind w:left="180" w:hanging="18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00710" w:rsidRDefault="00E00710" w:rsidP="00DF482C">
      <w:pPr>
        <w:spacing w:after="0"/>
        <w:ind w:left="180" w:hanging="18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0710">
        <w:rPr>
          <w:rFonts w:ascii="Times New Roman" w:hAnsi="Times New Roman" w:cs="Times New Roman"/>
          <w:b/>
          <w:sz w:val="26"/>
          <w:szCs w:val="26"/>
          <w:lang w:val="uk-UA"/>
        </w:rPr>
        <w:t>Адміністрація КП «Керуюча компанія з обслуговування житлового фонду Голосіївського району м. Києва»</w:t>
      </w:r>
    </w:p>
    <w:p w:rsidR="00DC1874" w:rsidRDefault="00DC1874" w:rsidP="00DF482C">
      <w:pPr>
        <w:spacing w:after="0"/>
        <w:ind w:left="180" w:hanging="18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C1874" w:rsidRDefault="00DC1874" w:rsidP="00E00710">
      <w:pPr>
        <w:spacing w:after="0"/>
        <w:ind w:left="180" w:hanging="18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E7E63" w:rsidRPr="00E00710" w:rsidRDefault="007E7E63" w:rsidP="00D13FA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674E" w:rsidRDefault="00DF482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tbl>
      <w:tblPr>
        <w:tblW w:w="14538" w:type="dxa"/>
        <w:tblInd w:w="98" w:type="dxa"/>
        <w:tblLook w:val="04A0" w:firstRow="1" w:lastRow="0" w:firstColumn="1" w:lastColumn="0" w:noHBand="0" w:noVBand="1"/>
      </w:tblPr>
      <w:tblGrid>
        <w:gridCol w:w="1201"/>
        <w:gridCol w:w="972"/>
        <w:gridCol w:w="717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620"/>
        <w:gridCol w:w="640"/>
        <w:gridCol w:w="584"/>
        <w:gridCol w:w="584"/>
        <w:gridCol w:w="584"/>
        <w:gridCol w:w="584"/>
        <w:gridCol w:w="584"/>
        <w:gridCol w:w="584"/>
        <w:gridCol w:w="558"/>
        <w:gridCol w:w="633"/>
        <w:gridCol w:w="609"/>
        <w:gridCol w:w="582"/>
      </w:tblGrid>
      <w:tr w:rsidR="006F674E" w:rsidRPr="006F674E" w:rsidTr="006F674E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E" w:rsidRPr="006F674E" w:rsidRDefault="006F674E" w:rsidP="006F674E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E" w:rsidRPr="006F674E" w:rsidRDefault="006F674E" w:rsidP="006F674E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E" w:rsidRPr="006F674E" w:rsidRDefault="006F674E" w:rsidP="006F674E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E" w:rsidRPr="006F674E" w:rsidRDefault="006F674E" w:rsidP="006F674E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E" w:rsidRPr="006F674E" w:rsidRDefault="006F674E" w:rsidP="006F674E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E" w:rsidRPr="006F674E" w:rsidRDefault="006F674E" w:rsidP="006F674E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E" w:rsidRPr="006F674E" w:rsidRDefault="006F674E" w:rsidP="006F674E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E" w:rsidRPr="006F674E" w:rsidRDefault="006F674E" w:rsidP="006F674E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E" w:rsidRPr="006F674E" w:rsidRDefault="006F674E" w:rsidP="006F674E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E" w:rsidRPr="006F674E" w:rsidRDefault="006F674E" w:rsidP="006F674E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E" w:rsidRPr="006F674E" w:rsidRDefault="006F674E" w:rsidP="006F674E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E" w:rsidRPr="006F674E" w:rsidRDefault="006F674E" w:rsidP="006F674E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E" w:rsidRPr="006F674E" w:rsidRDefault="006F674E" w:rsidP="006F674E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E" w:rsidRPr="006F674E" w:rsidRDefault="006F674E" w:rsidP="006F674E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E" w:rsidRPr="006F674E" w:rsidRDefault="006F674E" w:rsidP="006F674E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E" w:rsidRPr="006F674E" w:rsidRDefault="006F674E" w:rsidP="006F674E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E" w:rsidRPr="006F674E" w:rsidRDefault="006F674E" w:rsidP="006F674E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E" w:rsidRPr="006F674E" w:rsidRDefault="006F674E" w:rsidP="006F674E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E" w:rsidRPr="006F674E" w:rsidRDefault="006F674E" w:rsidP="006F674E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E" w:rsidRPr="006F674E" w:rsidRDefault="006F674E" w:rsidP="006F674E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E" w:rsidRPr="006F674E" w:rsidRDefault="006F674E" w:rsidP="006F674E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E" w:rsidRPr="006F674E" w:rsidRDefault="006F674E" w:rsidP="006F674E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val="uk-UA" w:eastAsia="uk-UA"/>
              </w:rPr>
            </w:pPr>
            <w:r w:rsidRPr="006F674E">
              <w:rPr>
                <w:rFonts w:ascii="Arial CYR" w:eastAsia="Times New Roman" w:hAnsi="Arial CYR" w:cs="Times New Roman"/>
                <w:sz w:val="14"/>
                <w:szCs w:val="14"/>
                <w:lang w:val="uk-UA" w:eastAsia="uk-UA"/>
              </w:rPr>
              <w:t>Додаток 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E" w:rsidRPr="006F674E" w:rsidRDefault="006F674E" w:rsidP="006F674E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E" w:rsidRPr="006F674E" w:rsidRDefault="006F674E" w:rsidP="006F674E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val="uk-UA" w:eastAsia="uk-UA"/>
              </w:rPr>
            </w:pPr>
          </w:p>
        </w:tc>
      </w:tr>
      <w:tr w:rsidR="006F674E" w:rsidRPr="006F674E" w:rsidTr="007415DA">
        <w:trPr>
          <w:trHeight w:val="462"/>
        </w:trPr>
        <w:tc>
          <w:tcPr>
            <w:tcW w:w="145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74E" w:rsidRPr="006F674E" w:rsidRDefault="006F674E" w:rsidP="0074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 xml:space="preserve">Проекти розрахованих тарифів та структура тарифів на послуги з утримання будинків і споруд та прибудинкових територій, які надаються КП "Керуюча компанія з обслуговування житлового фонду Голосіївського району </w:t>
            </w:r>
            <w:proofErr w:type="spellStart"/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м.Києва</w:t>
            </w:r>
            <w:proofErr w:type="spellEnd"/>
            <w:r w:rsidR="007415D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 xml:space="preserve">» </w:t>
            </w:r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 xml:space="preserve"> по будинку 7А на </w:t>
            </w:r>
            <w:proofErr w:type="spellStart"/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вул.Максимовича</w:t>
            </w:r>
            <w:proofErr w:type="spellEnd"/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 xml:space="preserve"> Михайла для здійснення розрахунків із споживачами залежно від оплати останніми не пізніше або після 20 числа місяця, що настає за розрахунковим</w:t>
            </w:r>
          </w:p>
        </w:tc>
      </w:tr>
      <w:tr w:rsidR="006F674E" w:rsidRPr="006F674E" w:rsidTr="007415DA">
        <w:trPr>
          <w:trHeight w:val="111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Суб'єкт господарювання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 xml:space="preserve">Назва вулиці (бульвару, провулку, проспекту, площі, узвозу та ін.) 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Номер будинку</w:t>
            </w:r>
          </w:p>
        </w:tc>
        <w:tc>
          <w:tcPr>
            <w:tcW w:w="994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 xml:space="preserve">Структура тарифу, </w:t>
            </w:r>
            <w:proofErr w:type="spellStart"/>
            <w:r w:rsidRPr="006F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грн</w:t>
            </w:r>
            <w:proofErr w:type="spellEnd"/>
            <w:r w:rsidRPr="006F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 xml:space="preserve"> за 1 кв. м загальної площі квартири за  місяць 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Оплата послуг після 20 числа місяця, що настає за розрахунковим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Оплата послуг не пізніше 20 числа місяця, що настає за розрахунковим</w:t>
            </w:r>
          </w:p>
        </w:tc>
      </w:tr>
      <w:tr w:rsidR="006F674E" w:rsidRPr="006F674E" w:rsidTr="007415DA">
        <w:trPr>
          <w:trHeight w:val="753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Прибирання прибудинкової території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Прибирання сходових кліток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Витрати з вивезення та знешкодження твердих побутових, великогабаритних, рідких відходів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Прибирання підвалу, технічних поверхів та покрівлі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Технічне обслуговування ліфтів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Обслуговування систем диспетчеризації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 xml:space="preserve">Технічне обслуговування </w:t>
            </w:r>
            <w:proofErr w:type="spellStart"/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внутрішньобудинкових</w:t>
            </w:r>
            <w:proofErr w:type="spellEnd"/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 xml:space="preserve"> систем </w:t>
            </w: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br/>
              <w:t xml:space="preserve">гарячого водопостачання, холодного водопостачання, водовідведення, централізованого опалення та зливової каналізації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Дератизація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Дезінсекція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Обслуговування димових та вентиляційних каналів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 xml:space="preserve">Технічне обслуговування та поточний ремонт мереж електропостачання та електрообладнання, систем протипожежної автоматики та </w:t>
            </w:r>
            <w:proofErr w:type="spellStart"/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димовидалення</w:t>
            </w:r>
            <w:proofErr w:type="spellEnd"/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 xml:space="preserve">, а також інших </w:t>
            </w:r>
            <w:proofErr w:type="spellStart"/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внутрішньобудинкових</w:t>
            </w:r>
            <w:proofErr w:type="spellEnd"/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 xml:space="preserve"> інженерних систем у разі їх наявності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 xml:space="preserve">Поточний ремонт конструктивних елементів, </w:t>
            </w:r>
            <w:proofErr w:type="spellStart"/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внутрішньобудинкових</w:t>
            </w:r>
            <w:proofErr w:type="spellEnd"/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упорядження, що розміщені на закріпленій в установленому порядку прибудинковій території (в тому числі спортивних, дитячих та інших майданчиків)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Поливання дворів, клумб і газонів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 xml:space="preserve">Прибирання і вивезення снігу, посипання частини прибудинкової території, призначеної для проходу та проїзду, </w:t>
            </w: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br/>
            </w:r>
            <w:proofErr w:type="spellStart"/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протиожеледними</w:t>
            </w:r>
            <w:proofErr w:type="spellEnd"/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 xml:space="preserve"> сумішами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Експлуатація номерних знаків на будинках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 xml:space="preserve">Освітлення місць загального користування і підвалів та </w:t>
            </w: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br/>
              <w:t>підкачування води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Енергопостачання ліфтів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 xml:space="preserve">Прибуток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 xml:space="preserve">Тариф, </w:t>
            </w:r>
            <w:proofErr w:type="spellStart"/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грн</w:t>
            </w:r>
            <w:proofErr w:type="spellEnd"/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 xml:space="preserve"> за 1 кв. м загальної площі квартири за місяць, крім квартир першого поверху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 xml:space="preserve">Тариф, </w:t>
            </w:r>
            <w:proofErr w:type="spellStart"/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грн</w:t>
            </w:r>
            <w:proofErr w:type="spellEnd"/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 xml:space="preserve"> за 1 кв. м загальної площі квартири </w:t>
            </w: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br/>
              <w:t>першого поверху за місяць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 xml:space="preserve">Тариф, </w:t>
            </w:r>
            <w:proofErr w:type="spellStart"/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грн</w:t>
            </w:r>
            <w:proofErr w:type="spellEnd"/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 xml:space="preserve"> за 1 кв. м загальної площі квартири за місяць, крім квартир першого поверху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 xml:space="preserve">Тариф, </w:t>
            </w:r>
            <w:proofErr w:type="spellStart"/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>грн</w:t>
            </w:r>
            <w:proofErr w:type="spellEnd"/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t xml:space="preserve"> за 1 кв. м загальної площі квартири  </w:t>
            </w:r>
            <w:r w:rsidRPr="006F67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uk-UA"/>
              </w:rPr>
              <w:br/>
              <w:t>першого поверху за місяць</w:t>
            </w:r>
          </w:p>
        </w:tc>
      </w:tr>
      <w:tr w:rsidR="006F674E" w:rsidRPr="006F674E" w:rsidTr="006F674E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22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23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</w:pPr>
            <w:r w:rsidRPr="006F674E">
              <w:rPr>
                <w:rFonts w:ascii="Times New Roman" w:eastAsia="Times New Roman" w:hAnsi="Times New Roman" w:cs="Times New Roman"/>
                <w:sz w:val="14"/>
                <w:szCs w:val="14"/>
                <w:lang w:val="uk-UA" w:eastAsia="uk-UA"/>
              </w:rPr>
              <w:t>26</w:t>
            </w:r>
          </w:p>
        </w:tc>
      </w:tr>
      <w:tr w:rsidR="006F674E" w:rsidRPr="00DB089C" w:rsidTr="006F674E">
        <w:trPr>
          <w:trHeight w:val="15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</w:pPr>
            <w:r w:rsidRPr="006F674E"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  <w:t>Керуюча компанія з обслуговування житлового фонду Голосіївського району м. Києва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</w:pPr>
            <w:r w:rsidRPr="006F674E"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  <w:t>Максимовича Михайла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</w:pPr>
            <w:r w:rsidRPr="006F674E"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  <w:t>7А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</w:pPr>
            <w:r w:rsidRPr="006F674E"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  <w:t>0,6446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</w:pPr>
            <w:r w:rsidRPr="006F674E"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  <w:t>1,1150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</w:pPr>
            <w:r w:rsidRPr="006F674E"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  <w:t>0,6565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</w:pPr>
            <w:r w:rsidRPr="006F674E"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  <w:t>0,0000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</w:pPr>
            <w:r w:rsidRPr="006F674E"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  <w:t>0,3968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</w:pPr>
            <w:r w:rsidRPr="006F674E"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  <w:t>0,3993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</w:pPr>
            <w:r w:rsidRPr="006F674E"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  <w:t>0,4641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</w:pPr>
            <w:r w:rsidRPr="006F674E"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  <w:t>0,0106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</w:pPr>
            <w:r w:rsidRPr="006F674E"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  <w:t>0,0118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</w:pPr>
            <w:r w:rsidRPr="006F674E"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  <w:t>0,0590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</w:pPr>
            <w:r w:rsidRPr="006F674E"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  <w:t>0,3701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</w:pPr>
            <w:r w:rsidRPr="006F674E"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  <w:t>0,0000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</w:pPr>
            <w:r w:rsidRPr="006F674E"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  <w:t>0,0000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</w:pPr>
            <w:r w:rsidRPr="006F674E"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  <w:t>0,0930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</w:pPr>
            <w:r w:rsidRPr="006F674E"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  <w:t>0,0000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</w:pPr>
            <w:r w:rsidRPr="006F674E"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  <w:t>0,5270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</w:pPr>
            <w:r w:rsidRPr="006F674E"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  <w:t>0,4041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</w:pPr>
            <w:r w:rsidRPr="006F674E"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  <w:t>0,6182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</w:pPr>
            <w:r w:rsidRPr="006F674E"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  <w:t>6,92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</w:pPr>
            <w:r w:rsidRPr="006F674E"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  <w:t>5,85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</w:pPr>
            <w:r w:rsidRPr="006F674E"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  <w:t>6,29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74E" w:rsidRPr="006F674E" w:rsidRDefault="006F674E" w:rsidP="006F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</w:pPr>
            <w:r w:rsidRPr="006F674E">
              <w:rPr>
                <w:rFonts w:ascii="Arial" w:eastAsia="Times New Roman" w:hAnsi="Arial" w:cs="Arial"/>
                <w:color w:val="000000"/>
                <w:sz w:val="12"/>
                <w:szCs w:val="12"/>
                <w:lang w:val="uk-UA" w:eastAsia="uk-UA"/>
              </w:rPr>
              <w:t>5,32</w:t>
            </w:r>
          </w:p>
        </w:tc>
      </w:tr>
    </w:tbl>
    <w:p w:rsidR="00AD47D4" w:rsidRDefault="00AD47D4" w:rsidP="00A046F1">
      <w:pPr>
        <w:spacing w:after="0"/>
        <w:ind w:left="180" w:hanging="180"/>
        <w:jc w:val="center"/>
        <w:rPr>
          <w:lang w:val="uk-UA"/>
        </w:rPr>
        <w:sectPr w:rsidR="00AD47D4" w:rsidSect="007415DA">
          <w:pgSz w:w="16838" w:h="11906" w:orient="landscape"/>
          <w:pgMar w:top="289" w:right="295" w:bottom="289" w:left="289" w:header="709" w:footer="709" w:gutter="0"/>
          <w:cols w:space="708"/>
          <w:docGrid w:linePitch="360"/>
        </w:sectPr>
      </w:pPr>
    </w:p>
    <w:tbl>
      <w:tblPr>
        <w:tblW w:w="15180" w:type="dxa"/>
        <w:tblInd w:w="98" w:type="dxa"/>
        <w:tblLook w:val="04A0" w:firstRow="1" w:lastRow="0" w:firstColumn="1" w:lastColumn="0" w:noHBand="0" w:noVBand="1"/>
      </w:tblPr>
      <w:tblGrid>
        <w:gridCol w:w="640"/>
        <w:gridCol w:w="2560"/>
        <w:gridCol w:w="2540"/>
        <w:gridCol w:w="4000"/>
        <w:gridCol w:w="3820"/>
        <w:gridCol w:w="1620"/>
      </w:tblGrid>
      <w:tr w:rsidR="00F4118A" w:rsidRPr="00F4118A" w:rsidTr="00F4118A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Додаток 2</w:t>
            </w:r>
          </w:p>
        </w:tc>
      </w:tr>
      <w:tr w:rsidR="00F4118A" w:rsidRPr="00F4118A" w:rsidTr="00F4118A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uk-UA"/>
              </w:rPr>
            </w:pPr>
          </w:p>
        </w:tc>
      </w:tr>
      <w:tr w:rsidR="00F4118A" w:rsidRPr="00F4118A" w:rsidTr="00F4118A">
        <w:trPr>
          <w:trHeight w:val="420"/>
        </w:trPr>
        <w:tc>
          <w:tcPr>
            <w:tcW w:w="15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Періодичність та строки надання послуг з утримання будинків і споруд та прибудинкової території</w:t>
            </w:r>
          </w:p>
        </w:tc>
      </w:tr>
      <w:tr w:rsidR="00F4118A" w:rsidRPr="00F4118A" w:rsidTr="00F4118A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uk-UA"/>
              </w:rPr>
            </w:pPr>
          </w:p>
        </w:tc>
      </w:tr>
      <w:tr w:rsidR="00F4118A" w:rsidRPr="00F4118A" w:rsidTr="00F4118A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uk-UA"/>
              </w:rPr>
            </w:pPr>
          </w:p>
        </w:tc>
      </w:tr>
      <w:tr w:rsidR="00F4118A" w:rsidRPr="00F4118A" w:rsidTr="00F4118A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NN</w:t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Складові послуг з утримання будинків і споруд та прибудинкових територій 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Роботи, що передбачає надання Порядок надання послуг з утримання будинків і споруд та прибудинкових територій </w:t>
            </w:r>
          </w:p>
        </w:tc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Склад робіт </w:t>
            </w:r>
          </w:p>
        </w:tc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Періодичність виконання 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Примітка </w:t>
            </w:r>
          </w:p>
        </w:tc>
      </w:tr>
      <w:tr w:rsidR="00F4118A" w:rsidRPr="00F4118A" w:rsidTr="00F4118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з/п </w:t>
            </w: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4118A" w:rsidRPr="00F4118A" w:rsidTr="00F4118A">
        <w:trPr>
          <w:trHeight w:val="2040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1. 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Прибирання прибудинкової території 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Роботи з обслуговування домоволодінь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Миття струменем із шланга асфальтового покриття тротуарів, дворів, які входять в площу прибирання закріпленої території навколо житлового комплексу, а також майданчиків під баками для збирання побутових відходів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Щодня за графіком у весняно-літній період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153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Очищення поверхонь </w:t>
            </w:r>
            <w:proofErr w:type="spellStart"/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зливостічних</w:t>
            </w:r>
            <w:proofErr w:type="spellEnd"/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лотків і кришок колодязів від піску і сміття після миття асфальтового покриття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Також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Поливання за допомогою шланга тротуарів і дворів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Щодня, якщо суха погода, у весняно-літній період до ранкового прибирання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Ранкове прибирання територій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Щодня за графіком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Поточне підмітання територій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дня за графіком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945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Поливання зелених насаджень за допомогою поливального шланга (або лійками)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літній період, якщо суха погода, два рази на день (вранці і ввечері в години, які встановлені адміністрацією)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945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 " - 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 " -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Посипання піском тротуарів, дворових перехідних доріжок, зовнішніх сходів і площадок на них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зимовий період за наявності ожеледиці 4 - 8 раз на місяць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Підготовка піску для посипання (роздрібнювання, сушіння)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необхідності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Утримання у справному і охайному стані урн, очищення їх від сміття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Щодня крім вихідних та святкових днів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Промивання тротуарних урн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Один раз на місяць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126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Прибирання тротуарів у дворах, які входять у площу прибирання двірника, від снігу, який щойно випав, і згрібання його у вали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тротуарах - з початком снігопаду, у дворах - у той самий день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Згрібання снігу, скинутого з даху, у вали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необхідності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945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Очищення від ущільненого снігу і полою асфальтового покриття під скребок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Після прибирання основної маси снігу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126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Очищення від снігу і льоду кришок водопровідних, каналізаційних, пожежних та інших колодязів, а також поверхневих </w:t>
            </w:r>
            <w:proofErr w:type="spellStart"/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зливостічних</w:t>
            </w:r>
            <w:proofErr w:type="spellEnd"/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лотків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зимовий період за необхідності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1575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Завантаження і розвантаження снігу, вивезення якого здійснюється своїми або найманими транспортними засобами, включаючи сніг, який скинули з даху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необхідності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Участь у механізованому прибиранні снігу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необхідності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945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Улаштування в період відлиги борозен в полою для відведення талої води у водовідвідні пристрої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зимовий і весняний періоди за необхідності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126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Відведення з території, яка прибирається, талої та дощової води у відповідні комунікації (колодязі, канави тощо)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необхідності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2205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Установлення огорож у місцях, які небезпечні для пішоходів, на час скидання снігу з дахів (при утворенні великих льодових бурульок на звисах покрівель та при простукуванні відшарованої і нетривкої штукатурки на фасадах будинків)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необхідності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945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Очищення кришок каналізаційних колодязів, водостічних решіток, люків для стоку води і приямків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необхідності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1575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Роботи з обслуговування сміттєпроводів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Підготовка для завантаження баків із сміттям, миття </w:t>
            </w:r>
            <w:proofErr w:type="spellStart"/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сміттєзбірних</w:t>
            </w:r>
            <w:proofErr w:type="spellEnd"/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баків після їх спорожнення, прибирання території після від'їзду сміттєвозу і встановлення спорожнілих баків на місця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Згідно з установленим графіком вивезення побутових відходів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126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Завантаження побутового сміття на транспортні засоби в домоволодіннях, у яких не застосовуються </w:t>
            </w:r>
            <w:proofErr w:type="spellStart"/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сміттєзбірні</w:t>
            </w:r>
            <w:proofErr w:type="spellEnd"/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баки і контейнери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графіком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945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Видалення сміття зі </w:t>
            </w:r>
            <w:proofErr w:type="spellStart"/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сміттєприймальних</w:t>
            </w:r>
            <w:proofErr w:type="spellEnd"/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камер, переміщення контейнерів до місця зберігання для вивезення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раз на день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Профілактичний огляд сміттєпроводів, усунення засмічень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раз на місяць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Прибирання бункерів (очищення), прибирання </w:t>
            </w:r>
            <w:proofErr w:type="spellStart"/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сміттєприймальних</w:t>
            </w:r>
            <w:proofErr w:type="spellEnd"/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камер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раз на добу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Дезінфекція всіх елементів стволів сміттєпроводів і </w:t>
            </w:r>
            <w:proofErr w:type="spellStart"/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сміттєзбірників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раз на місяць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945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Різні роботи (зберігання будинкового обладнання і майна в належному стані на закріпленій території (у т. ч.: воріт, парканів, огорож та інших елементів благоустрою, розташованих на прибудинковій території); нагляд за наявністю і станом огорож для забезпечення техніки безпеки при скиданні снігу і сміття з дахів, збивання льоду і бурульок з </w:t>
            </w: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карнизів і звисів на фасаді)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Миття (влітку) і прибирання (взимку) територій в місцях скупчення голубів та інших птахів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Щодня крім вихідних та святкових днів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Промивання номерних ліхтарів, вуличних і сходових покажчиків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раз на місяць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945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Очищення підвалів і горищ від побутових відходів з видаленням сторонніх предметів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необхідності, але не менше 2-х разів на рік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945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Вивішування в установлені дні державних прапорів на фасадах будинків, а також зняття і зберігання їх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вказівкою управителя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945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Включення і виключення номерних будинкових ліхтарів, сходових кліток тощо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Щодня, з настанням темряви і на світанку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126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Догляд за зеленими насадженнями (обкопування дерев і чагарників, косіння трави на газонах, садіння нових насаджень)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необхідності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945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Підготовка </w:t>
            </w:r>
            <w:proofErr w:type="spellStart"/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прибирального</w:t>
            </w:r>
            <w:proofErr w:type="spellEnd"/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інструменту (заточування скребків, насаджування мітел і лопат, миття відер, совків тощо)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необхідності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63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Нагляд за збереженням всього зовнішнього обладнання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Постійно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2835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2. 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Прибирання сходових кліток: 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Роботи з прибирання та обслуговування під'їздів, сходових площадок та маршів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Вологе підмітання вестибюлів, сходових кліток і маршів перших трьох поверхів, місць перед завантажувальними камерами сміттєпроводів і приміщень загального призначення (дитячих кімнат, приміщень контор тощо). Прибирання дворових під'їздів, очищення металевих решіток приямка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Щодня крім вихідних та святкових днів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63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Вологе підмітання сходових кліток і маршів вище третього поверху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 рази на тиждень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63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Миття вестибюлів, сходових кліток і маршів, пофарбованих панелей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 рази на місяць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63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Миття приміщень загального призначення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Щодня крім вихідних та святкових днів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63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Миття вікон на сходових клітках і у вестибюлях, дверей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 рази на рік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945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Обмітання пилу, павутиння і бруду зі стін, стель, дверей, вікон, підвіконь, радіаторів, сітчастих огорож ліфтів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 рази на місяць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945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Вологе протирання підвіконь, віконних решіток, поручнів, поштових скриньок, електрощитових, сходів на горище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раз на місяць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1275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3. </w:t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Вивезення побутових відходів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Збирання, перевезення, зберігання, перероблення, утилізація, знешкодження та захоронення твердих побутових відходів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 графіком, узгодженим з підрядною організацією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Щоденно, крім неділі, згідно норм накопичення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102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Збирання, перевезення, зберігання, перероблення, утилізація, знешкодження та захоронення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 графіком виконавця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 міру необхідності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510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4. 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Технічне обслуговування ліфтів 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Підтримання у робочому стані систем ліфтів, технічне обслуговування ліфтів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Регламентні роботи (обхід, огляд, перевірка роботи та технічного стану)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 міру необхідності, але не рідше 1 разу на місяць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Прибирання ліфтових кабін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 раз на тиждень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Ремонтні роботи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Відповідно до встановлених нормативів за графіком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Усунення непередбачених відмов на ліфті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 міру необхідності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510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5. 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Обслуговування систем диспетчеризації 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Приймання аварійних сигналів та заявок від споживачів та організація роботи з усунення несправностей і пошкоджень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Регламентні роботи (обхід, огляд, перевірка роботи та технічного стану)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 міру необхідності, але не рідше одного разу на місяць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Організація чергування диспетчерів на пульті правління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Цілодобово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765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6. 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Технічне обслуговування </w:t>
            </w:r>
            <w:proofErr w:type="spellStart"/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внутрішньобудинкових</w:t>
            </w:r>
            <w:proofErr w:type="spellEnd"/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систем </w:t>
            </w:r>
            <w:proofErr w:type="spellStart"/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тепло-</w:t>
            </w:r>
            <w:proofErr w:type="spellEnd"/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 водопостачання, водовідведення 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Забезпечення безперебійного транспортування отриманих від виробників послуг з централізованого опалення, холодного та гарячого водопостачання і водовідведення (за винятком </w:t>
            </w:r>
            <w:proofErr w:type="spellStart"/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внутрішньоквартирних</w:t>
            </w:r>
            <w:proofErr w:type="spellEnd"/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мереж)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Регламентні роботи (обхід, огляд, перевірка роботи та технічного стану)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 міру необхідності, але не рідше 1 разу на квартал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Профілактичні роботи (прочищення, усунення засмічень, несправностей та витоків в системах)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 необхідністю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7. 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Дератизація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 графіком, узгодженим з підрядною організацією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 міру необхідності але не рідше 2-х разів нарік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8. 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Дезинсекція</w:t>
            </w:r>
            <w:proofErr w:type="spellEnd"/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 графіком, узгодженим з підрядною організацією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 міру необхідності але не рідше 2-х разів нарік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510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9. 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Обслуговування </w:t>
            </w:r>
            <w:proofErr w:type="spellStart"/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димовентиляційних</w:t>
            </w:r>
            <w:proofErr w:type="spellEnd"/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каналів 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Забезпечення роботи </w:t>
            </w:r>
            <w:proofErr w:type="spellStart"/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димовентиляційних</w:t>
            </w:r>
            <w:proofErr w:type="spellEnd"/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каналів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Регламентні роботи (обхід, перевірка наявності тяги у димових та вентиляційних каналах)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рази на рік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Прочищення димових і вентиляційних каналів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 необхідністю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510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10. 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Технічне обслуговування та поточний ремонт систем протипожежної автоматики та </w:t>
            </w:r>
            <w:proofErr w:type="spellStart"/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димовидалення</w:t>
            </w:r>
            <w:proofErr w:type="spellEnd"/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, а також інших </w:t>
            </w:r>
            <w:proofErr w:type="spellStart"/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внутрішньобудинкових</w:t>
            </w:r>
            <w:proofErr w:type="spellEnd"/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інженерних систем у разі їх наявності 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Забезпечення роботи систем протипожежної автоматики та </w:t>
            </w:r>
            <w:proofErr w:type="spellStart"/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димовидалення</w:t>
            </w:r>
            <w:proofErr w:type="spellEnd"/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Регламентні роботи (обхід, огляд, перевірка роботи та технічного стану)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 міру необхідності, але не рідше 1 разу на місяць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Ремонтні роботи відповідно до встановлених нормативів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 графіком протягом року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292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Поточний ремонт конструктивних елементів </w:t>
            </w:r>
            <w:proofErr w:type="spellStart"/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внутрішньобудинкових</w:t>
            </w:r>
            <w:proofErr w:type="spellEnd"/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систем гарячого і холодного водопостачання, водовідведення, теплопостачання та зливової каналізації і технічних пристроїв будинків та елементів зовнішнього упорядження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Роботи, визначені Примірним переліком послуг з утримання будинків і споруд та при будинкових територій та послуг з ремонту приміщень, будинків, споруд, затвердженим наказом Державного комітету України з питань житлово-комунального господарства від 10.08.2004 N 150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Регламентні роботи згідно затвердженого графіку поточного ремонту, складеного за результатами загальних оглядів житлових будинків, звернень та заявок споживачів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За графіком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роботи виконуються у випадку за планованих витратна виконання відповідних робіт </w:t>
            </w:r>
          </w:p>
        </w:tc>
      </w:tr>
      <w:tr w:rsidR="00F4118A" w:rsidRPr="00F4118A" w:rsidTr="00F4118A">
        <w:trPr>
          <w:trHeight w:val="529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Освітлення місць загального користування і підвалів та підкачування води 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Постачання силової електроенергії для освітлення місць загального користування і підвалів та підкачування води 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 договором з енергопостачальною організацією 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Цілодобово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uk-UA"/>
              </w:rPr>
              <w:t> </w:t>
            </w:r>
          </w:p>
        </w:tc>
      </w:tr>
      <w:tr w:rsidR="00F4118A" w:rsidRPr="00F4118A" w:rsidTr="00F4118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uk-UA"/>
              </w:rPr>
            </w:pPr>
          </w:p>
        </w:tc>
      </w:tr>
      <w:tr w:rsidR="00F4118A" w:rsidRPr="00F4118A" w:rsidTr="00F4118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uk-UA"/>
              </w:rPr>
            </w:pPr>
          </w:p>
        </w:tc>
      </w:tr>
      <w:tr w:rsidR="00F4118A" w:rsidRPr="00F4118A" w:rsidTr="00F4118A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Енергопостачання ліфтів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Постачання силової електроенергії для роботи ліфтів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 договором з енергопостачальною організацією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Цілодобово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18A" w:rsidRPr="00F4118A" w:rsidRDefault="00F4118A" w:rsidP="00F4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411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</w:tbl>
    <w:p w:rsidR="007E7E63" w:rsidRPr="00A07576" w:rsidRDefault="007E7E63" w:rsidP="00F4118A">
      <w:pPr>
        <w:spacing w:after="0"/>
        <w:ind w:left="180" w:hanging="1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7E7E63" w:rsidRPr="00A07576" w:rsidSect="00AD47D4">
      <w:pgSz w:w="16838" w:h="11906" w:orient="landscape"/>
      <w:pgMar w:top="289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A44B5"/>
    <w:multiLevelType w:val="hybridMultilevel"/>
    <w:tmpl w:val="15FEFC56"/>
    <w:lvl w:ilvl="0" w:tplc="0C486F66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61"/>
    <w:rsid w:val="00030C1D"/>
    <w:rsid w:val="00082BFE"/>
    <w:rsid w:val="00103877"/>
    <w:rsid w:val="00132BB6"/>
    <w:rsid w:val="00192A87"/>
    <w:rsid w:val="001A05BE"/>
    <w:rsid w:val="001B2105"/>
    <w:rsid w:val="002220F8"/>
    <w:rsid w:val="00263F43"/>
    <w:rsid w:val="0030144A"/>
    <w:rsid w:val="00311088"/>
    <w:rsid w:val="00322F55"/>
    <w:rsid w:val="0033524F"/>
    <w:rsid w:val="003620C2"/>
    <w:rsid w:val="00367878"/>
    <w:rsid w:val="00401B19"/>
    <w:rsid w:val="004605DE"/>
    <w:rsid w:val="004A271F"/>
    <w:rsid w:val="004D433A"/>
    <w:rsid w:val="004D76DB"/>
    <w:rsid w:val="004F18A9"/>
    <w:rsid w:val="004F1FC9"/>
    <w:rsid w:val="005376FD"/>
    <w:rsid w:val="00563D8A"/>
    <w:rsid w:val="005A00DF"/>
    <w:rsid w:val="005B3868"/>
    <w:rsid w:val="005B49C6"/>
    <w:rsid w:val="005B7ACC"/>
    <w:rsid w:val="005C1292"/>
    <w:rsid w:val="0060069B"/>
    <w:rsid w:val="00647FA8"/>
    <w:rsid w:val="006C243E"/>
    <w:rsid w:val="006D72A0"/>
    <w:rsid w:val="006F674E"/>
    <w:rsid w:val="00717119"/>
    <w:rsid w:val="00734EDB"/>
    <w:rsid w:val="007415DA"/>
    <w:rsid w:val="007637A7"/>
    <w:rsid w:val="00786A48"/>
    <w:rsid w:val="007A4447"/>
    <w:rsid w:val="007A4CF0"/>
    <w:rsid w:val="007B5886"/>
    <w:rsid w:val="007B665D"/>
    <w:rsid w:val="007C4C9D"/>
    <w:rsid w:val="007E4C18"/>
    <w:rsid w:val="007E786A"/>
    <w:rsid w:val="007E7E63"/>
    <w:rsid w:val="007F1779"/>
    <w:rsid w:val="007F664E"/>
    <w:rsid w:val="008322E1"/>
    <w:rsid w:val="00833FFD"/>
    <w:rsid w:val="0087052E"/>
    <w:rsid w:val="00872DB0"/>
    <w:rsid w:val="00883169"/>
    <w:rsid w:val="008837C2"/>
    <w:rsid w:val="00885B71"/>
    <w:rsid w:val="008C5E71"/>
    <w:rsid w:val="008D3AA9"/>
    <w:rsid w:val="008E1791"/>
    <w:rsid w:val="008E5E79"/>
    <w:rsid w:val="0090323C"/>
    <w:rsid w:val="00911B10"/>
    <w:rsid w:val="00925F1B"/>
    <w:rsid w:val="009336E7"/>
    <w:rsid w:val="00936C06"/>
    <w:rsid w:val="009F001E"/>
    <w:rsid w:val="00A046F1"/>
    <w:rsid w:val="00A07576"/>
    <w:rsid w:val="00A27074"/>
    <w:rsid w:val="00A66EDD"/>
    <w:rsid w:val="00AC1F8A"/>
    <w:rsid w:val="00AD47D4"/>
    <w:rsid w:val="00BD0949"/>
    <w:rsid w:val="00BF18CD"/>
    <w:rsid w:val="00C52B9F"/>
    <w:rsid w:val="00C82960"/>
    <w:rsid w:val="00CB5A61"/>
    <w:rsid w:val="00CB5EF9"/>
    <w:rsid w:val="00CC468D"/>
    <w:rsid w:val="00CD6F7C"/>
    <w:rsid w:val="00CF7509"/>
    <w:rsid w:val="00D13FA1"/>
    <w:rsid w:val="00D54F4B"/>
    <w:rsid w:val="00DA67A5"/>
    <w:rsid w:val="00DB02B9"/>
    <w:rsid w:val="00DB089C"/>
    <w:rsid w:val="00DC1874"/>
    <w:rsid w:val="00DE2A95"/>
    <w:rsid w:val="00DE3EF7"/>
    <w:rsid w:val="00DF482C"/>
    <w:rsid w:val="00E00710"/>
    <w:rsid w:val="00E03979"/>
    <w:rsid w:val="00E3164D"/>
    <w:rsid w:val="00EA33FB"/>
    <w:rsid w:val="00ED700C"/>
    <w:rsid w:val="00F4118A"/>
    <w:rsid w:val="00F62BA3"/>
    <w:rsid w:val="00FD5878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8D"/>
    <w:pPr>
      <w:ind w:left="720"/>
      <w:contextualSpacing/>
    </w:pPr>
  </w:style>
  <w:style w:type="paragraph" w:customStyle="1" w:styleId="login-buttonuser">
    <w:name w:val="login-button__user"/>
    <w:basedOn w:val="a"/>
    <w:rsid w:val="005B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B49C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8D"/>
    <w:pPr>
      <w:ind w:left="720"/>
      <w:contextualSpacing/>
    </w:pPr>
  </w:style>
  <w:style w:type="paragraph" w:customStyle="1" w:styleId="login-buttonuser">
    <w:name w:val="login-button__user"/>
    <w:basedOn w:val="a"/>
    <w:rsid w:val="005B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B49C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14C87-0722-4145-8BF0-8F819CD6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9381</Words>
  <Characters>5348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Деркач Світлана Олексіївна</cp:lastModifiedBy>
  <cp:revision>2</cp:revision>
  <cp:lastPrinted>2017-11-21T10:05:00Z</cp:lastPrinted>
  <dcterms:created xsi:type="dcterms:W3CDTF">2017-12-18T12:27:00Z</dcterms:created>
  <dcterms:modified xsi:type="dcterms:W3CDTF">2017-12-18T12:27:00Z</dcterms:modified>
</cp:coreProperties>
</file>