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8E" w:rsidRPr="00110CE5" w:rsidRDefault="00110CE5" w:rsidP="004F4EAE">
      <w:pPr>
        <w:spacing w:after="0"/>
        <w:jc w:val="both"/>
        <w:rPr>
          <w:rFonts w:ascii="Times New Roman" w:hAnsi="Times New Roman" w:cs="Times New Roman"/>
          <w:sz w:val="28"/>
          <w:szCs w:val="28"/>
        </w:rPr>
      </w:pPr>
      <w:r>
        <w:tab/>
      </w:r>
      <w:r>
        <w:tab/>
      </w:r>
      <w:r>
        <w:tab/>
      </w:r>
      <w:r>
        <w:tab/>
      </w:r>
      <w:r>
        <w:tab/>
      </w:r>
      <w:r>
        <w:tab/>
      </w:r>
      <w:r w:rsidRPr="00110CE5">
        <w:rPr>
          <w:rFonts w:ascii="Times New Roman" w:hAnsi="Times New Roman" w:cs="Times New Roman"/>
          <w:sz w:val="28"/>
          <w:szCs w:val="28"/>
        </w:rPr>
        <w:t xml:space="preserve">В.о. </w:t>
      </w:r>
      <w:proofErr w:type="spellStart"/>
      <w:r w:rsidRPr="00110CE5">
        <w:rPr>
          <w:rFonts w:ascii="Times New Roman" w:hAnsi="Times New Roman" w:cs="Times New Roman"/>
          <w:sz w:val="28"/>
          <w:szCs w:val="28"/>
        </w:rPr>
        <w:t>голови</w:t>
      </w:r>
      <w:proofErr w:type="spellEnd"/>
      <w:r w:rsidRPr="00110CE5">
        <w:rPr>
          <w:rFonts w:ascii="Times New Roman" w:hAnsi="Times New Roman" w:cs="Times New Roman"/>
          <w:sz w:val="28"/>
          <w:szCs w:val="28"/>
        </w:rPr>
        <w:t xml:space="preserve"> </w:t>
      </w:r>
      <w:proofErr w:type="spellStart"/>
      <w:r w:rsidRPr="00110CE5">
        <w:rPr>
          <w:rFonts w:ascii="Times New Roman" w:hAnsi="Times New Roman" w:cs="Times New Roman"/>
          <w:sz w:val="28"/>
          <w:szCs w:val="28"/>
        </w:rPr>
        <w:t>Дарницької</w:t>
      </w:r>
      <w:proofErr w:type="spellEnd"/>
      <w:r w:rsidRPr="00110CE5">
        <w:rPr>
          <w:rFonts w:ascii="Times New Roman" w:hAnsi="Times New Roman" w:cs="Times New Roman"/>
          <w:sz w:val="28"/>
          <w:szCs w:val="28"/>
        </w:rPr>
        <w:t xml:space="preserve"> </w:t>
      </w:r>
      <w:proofErr w:type="spellStart"/>
      <w:r w:rsidRPr="00110CE5">
        <w:rPr>
          <w:rFonts w:ascii="Times New Roman" w:hAnsi="Times New Roman" w:cs="Times New Roman"/>
          <w:sz w:val="28"/>
          <w:szCs w:val="28"/>
        </w:rPr>
        <w:t>районної</w:t>
      </w:r>
      <w:proofErr w:type="spellEnd"/>
    </w:p>
    <w:p w:rsidR="00110CE5" w:rsidRPr="00110CE5" w:rsidRDefault="00110CE5" w:rsidP="00110CE5">
      <w:pPr>
        <w:spacing w:after="0"/>
        <w:rPr>
          <w:rFonts w:ascii="Times New Roman" w:hAnsi="Times New Roman" w:cs="Times New Roman"/>
          <w:sz w:val="28"/>
          <w:szCs w:val="28"/>
          <w:lang w:val="uk-UA"/>
        </w:rPr>
      </w:pPr>
      <w:r w:rsidRPr="00110CE5">
        <w:rPr>
          <w:rFonts w:ascii="Times New Roman" w:hAnsi="Times New Roman" w:cs="Times New Roman"/>
          <w:sz w:val="28"/>
          <w:szCs w:val="28"/>
          <w:lang w:val="uk-UA"/>
        </w:rPr>
        <w:tab/>
      </w:r>
      <w:r w:rsidRPr="00110CE5">
        <w:rPr>
          <w:rFonts w:ascii="Times New Roman" w:hAnsi="Times New Roman" w:cs="Times New Roman"/>
          <w:sz w:val="28"/>
          <w:szCs w:val="28"/>
          <w:lang w:val="uk-UA"/>
        </w:rPr>
        <w:tab/>
      </w:r>
      <w:r w:rsidRPr="00110CE5">
        <w:rPr>
          <w:rFonts w:ascii="Times New Roman" w:hAnsi="Times New Roman" w:cs="Times New Roman"/>
          <w:sz w:val="28"/>
          <w:szCs w:val="28"/>
          <w:lang w:val="uk-UA"/>
        </w:rPr>
        <w:tab/>
      </w:r>
      <w:r w:rsidRPr="00110CE5">
        <w:rPr>
          <w:rFonts w:ascii="Times New Roman" w:hAnsi="Times New Roman" w:cs="Times New Roman"/>
          <w:sz w:val="28"/>
          <w:szCs w:val="28"/>
          <w:lang w:val="uk-UA"/>
        </w:rPr>
        <w:tab/>
      </w:r>
      <w:r w:rsidRPr="00110CE5">
        <w:rPr>
          <w:rFonts w:ascii="Times New Roman" w:hAnsi="Times New Roman" w:cs="Times New Roman"/>
          <w:sz w:val="28"/>
          <w:szCs w:val="28"/>
          <w:lang w:val="uk-UA"/>
        </w:rPr>
        <w:tab/>
      </w:r>
      <w:r w:rsidRPr="00110CE5">
        <w:rPr>
          <w:rFonts w:ascii="Times New Roman" w:hAnsi="Times New Roman" w:cs="Times New Roman"/>
          <w:sz w:val="28"/>
          <w:szCs w:val="28"/>
          <w:lang w:val="uk-UA"/>
        </w:rPr>
        <w:tab/>
      </w:r>
      <w:r>
        <w:rPr>
          <w:rFonts w:ascii="Times New Roman" w:hAnsi="Times New Roman" w:cs="Times New Roman"/>
          <w:sz w:val="28"/>
          <w:szCs w:val="28"/>
          <w:lang w:val="uk-UA"/>
        </w:rPr>
        <w:t>в</w:t>
      </w:r>
      <w:r w:rsidRPr="00110CE5">
        <w:rPr>
          <w:rFonts w:ascii="Times New Roman" w:hAnsi="Times New Roman" w:cs="Times New Roman"/>
          <w:sz w:val="28"/>
          <w:szCs w:val="28"/>
          <w:lang w:val="uk-UA"/>
        </w:rPr>
        <w:t xml:space="preserve"> місті Києві державної адміністрації</w:t>
      </w:r>
    </w:p>
    <w:p w:rsidR="00110CE5" w:rsidRDefault="00110CE5" w:rsidP="00110CE5">
      <w:pPr>
        <w:spacing w:after="0"/>
        <w:ind w:left="3540" w:firstLine="708"/>
        <w:rPr>
          <w:rFonts w:ascii="Times New Roman" w:hAnsi="Times New Roman" w:cs="Times New Roman"/>
          <w:sz w:val="28"/>
          <w:szCs w:val="28"/>
          <w:lang w:val="uk-UA"/>
        </w:rPr>
      </w:pPr>
      <w:r w:rsidRPr="00110CE5">
        <w:rPr>
          <w:rFonts w:ascii="Times New Roman" w:hAnsi="Times New Roman" w:cs="Times New Roman"/>
          <w:sz w:val="28"/>
          <w:szCs w:val="28"/>
          <w:lang w:val="uk-UA"/>
        </w:rPr>
        <w:t>Лозовому В.Б.</w:t>
      </w:r>
    </w:p>
    <w:p w:rsidR="00A01CF5" w:rsidRDefault="00A01CF5" w:rsidP="00A01CF5">
      <w:pPr>
        <w:spacing w:after="0"/>
        <w:rPr>
          <w:rFonts w:ascii="Times New Roman" w:hAnsi="Times New Roman" w:cs="Times New Roman"/>
          <w:sz w:val="28"/>
          <w:szCs w:val="28"/>
          <w:lang w:val="uk-UA"/>
        </w:rPr>
      </w:pPr>
    </w:p>
    <w:p w:rsidR="00110CE5" w:rsidRDefault="00A01CF5" w:rsidP="00110CE5">
      <w:pPr>
        <w:spacing w:after="0"/>
        <w:ind w:left="3540"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01CF5" w:rsidRDefault="00A01CF5" w:rsidP="00653F0B">
      <w:pPr>
        <w:spacing w:after="0"/>
        <w:rPr>
          <w:rFonts w:ascii="Times New Roman" w:hAnsi="Times New Roman" w:cs="Times New Roman"/>
          <w:sz w:val="28"/>
          <w:szCs w:val="28"/>
          <w:lang w:val="uk-UA"/>
        </w:rPr>
      </w:pPr>
    </w:p>
    <w:p w:rsidR="00110CE5" w:rsidRPr="00FE5EEE" w:rsidRDefault="00110CE5" w:rsidP="004F4EAE">
      <w:pPr>
        <w:spacing w:after="0"/>
        <w:ind w:firstLine="708"/>
        <w:jc w:val="center"/>
        <w:rPr>
          <w:rFonts w:ascii="Times New Roman" w:hAnsi="Times New Roman" w:cs="Times New Roman"/>
          <w:b/>
          <w:sz w:val="28"/>
          <w:szCs w:val="28"/>
          <w:lang w:val="uk-UA"/>
        </w:rPr>
      </w:pPr>
      <w:r w:rsidRPr="00FE5EEE">
        <w:rPr>
          <w:rFonts w:ascii="Times New Roman" w:hAnsi="Times New Roman" w:cs="Times New Roman"/>
          <w:b/>
          <w:sz w:val="28"/>
          <w:szCs w:val="28"/>
          <w:lang w:val="uk-UA"/>
        </w:rPr>
        <w:t>Інформація</w:t>
      </w:r>
    </w:p>
    <w:p w:rsidR="00110CE5" w:rsidRPr="00E8432B" w:rsidRDefault="00110CE5" w:rsidP="004F4EAE">
      <w:pPr>
        <w:spacing w:after="0"/>
        <w:ind w:firstLine="708"/>
        <w:jc w:val="center"/>
        <w:rPr>
          <w:rFonts w:ascii="Times New Roman" w:hAnsi="Times New Roman" w:cs="Times New Roman"/>
          <w:sz w:val="28"/>
          <w:szCs w:val="28"/>
          <w:lang w:val="uk-UA"/>
        </w:rPr>
      </w:pPr>
      <w:r w:rsidRPr="00E8432B">
        <w:rPr>
          <w:rFonts w:ascii="Times New Roman" w:hAnsi="Times New Roman" w:cs="Times New Roman"/>
          <w:sz w:val="28"/>
          <w:szCs w:val="28"/>
          <w:lang w:val="uk-UA"/>
        </w:rPr>
        <w:t>Для</w:t>
      </w:r>
      <w:r w:rsidRPr="00FE5EEE">
        <w:rPr>
          <w:rFonts w:ascii="Times New Roman" w:hAnsi="Times New Roman" w:cs="Times New Roman"/>
          <w:b/>
          <w:sz w:val="28"/>
          <w:szCs w:val="28"/>
          <w:lang w:val="uk-UA"/>
        </w:rPr>
        <w:t xml:space="preserve"> </w:t>
      </w:r>
      <w:r w:rsidRPr="00E8432B">
        <w:rPr>
          <w:rFonts w:ascii="Times New Roman" w:hAnsi="Times New Roman" w:cs="Times New Roman"/>
          <w:sz w:val="28"/>
          <w:szCs w:val="28"/>
          <w:lang w:val="uk-UA"/>
        </w:rPr>
        <w:t>розгляду на апаратній нараді</w:t>
      </w:r>
      <w:r w:rsidR="004F4EAE" w:rsidRPr="00E8432B">
        <w:rPr>
          <w:rFonts w:ascii="Times New Roman" w:hAnsi="Times New Roman" w:cs="Times New Roman"/>
          <w:sz w:val="28"/>
          <w:szCs w:val="28"/>
          <w:lang w:val="uk-UA"/>
        </w:rPr>
        <w:t xml:space="preserve"> Дарницької районної в місті Києві</w:t>
      </w:r>
    </w:p>
    <w:p w:rsidR="004F4EAE" w:rsidRPr="00E8432B" w:rsidRDefault="004F4EAE" w:rsidP="00156C1E">
      <w:pPr>
        <w:spacing w:after="0" w:line="240" w:lineRule="auto"/>
        <w:ind w:firstLine="708"/>
        <w:jc w:val="center"/>
        <w:rPr>
          <w:rFonts w:ascii="Times New Roman" w:hAnsi="Times New Roman" w:cs="Times New Roman"/>
          <w:sz w:val="28"/>
          <w:szCs w:val="28"/>
          <w:lang w:val="uk-UA"/>
        </w:rPr>
      </w:pPr>
      <w:r w:rsidRPr="00E8432B">
        <w:rPr>
          <w:rFonts w:ascii="Times New Roman" w:hAnsi="Times New Roman" w:cs="Times New Roman"/>
          <w:sz w:val="28"/>
          <w:szCs w:val="28"/>
          <w:lang w:val="uk-UA"/>
        </w:rPr>
        <w:t xml:space="preserve">Державної адміністрації </w:t>
      </w:r>
      <w:r w:rsidR="001C54BE" w:rsidRPr="00E8432B">
        <w:rPr>
          <w:rFonts w:ascii="Times New Roman" w:hAnsi="Times New Roman" w:cs="Times New Roman"/>
          <w:sz w:val="28"/>
          <w:szCs w:val="28"/>
          <w:lang w:val="uk-UA"/>
        </w:rPr>
        <w:t>12.09</w:t>
      </w:r>
      <w:r w:rsidRPr="00E8432B">
        <w:rPr>
          <w:rFonts w:ascii="Times New Roman" w:hAnsi="Times New Roman" w:cs="Times New Roman"/>
          <w:sz w:val="28"/>
          <w:szCs w:val="28"/>
          <w:lang w:val="uk-UA"/>
        </w:rPr>
        <w:t>.2017 р. з питання:</w:t>
      </w:r>
    </w:p>
    <w:p w:rsidR="004F4EAE" w:rsidRPr="00FE5EEE" w:rsidRDefault="004F4EAE" w:rsidP="00156C1E">
      <w:pPr>
        <w:spacing w:after="0" w:line="240" w:lineRule="auto"/>
        <w:ind w:firstLine="708"/>
        <w:jc w:val="center"/>
        <w:rPr>
          <w:rFonts w:ascii="Times New Roman" w:hAnsi="Times New Roman" w:cs="Times New Roman"/>
          <w:b/>
          <w:sz w:val="28"/>
          <w:szCs w:val="28"/>
          <w:lang w:val="uk-UA"/>
        </w:rPr>
      </w:pPr>
      <w:r w:rsidRPr="00FE5EEE">
        <w:rPr>
          <w:rFonts w:ascii="Times New Roman" w:hAnsi="Times New Roman" w:cs="Times New Roman"/>
          <w:b/>
          <w:sz w:val="28"/>
          <w:szCs w:val="28"/>
          <w:lang w:val="uk-UA"/>
        </w:rPr>
        <w:t>«</w:t>
      </w:r>
      <w:r w:rsidR="001C54BE" w:rsidRPr="00FE5EEE">
        <w:rPr>
          <w:rFonts w:ascii="Times New Roman" w:hAnsi="Times New Roman" w:cs="Times New Roman"/>
          <w:b/>
          <w:bCs/>
          <w:sz w:val="28"/>
          <w:szCs w:val="28"/>
        </w:rPr>
        <w:t xml:space="preserve">Про </w:t>
      </w:r>
      <w:proofErr w:type="spellStart"/>
      <w:r w:rsidR="001C54BE" w:rsidRPr="00FE5EEE">
        <w:rPr>
          <w:rFonts w:ascii="Times New Roman" w:hAnsi="Times New Roman" w:cs="Times New Roman"/>
          <w:b/>
          <w:bCs/>
          <w:sz w:val="28"/>
          <w:szCs w:val="28"/>
        </w:rPr>
        <w:t>підсумки</w:t>
      </w:r>
      <w:proofErr w:type="spellEnd"/>
      <w:r w:rsidR="001C54BE" w:rsidRPr="00FE5EEE">
        <w:rPr>
          <w:rFonts w:ascii="Times New Roman" w:hAnsi="Times New Roman" w:cs="Times New Roman"/>
          <w:b/>
          <w:bCs/>
          <w:sz w:val="28"/>
          <w:szCs w:val="28"/>
        </w:rPr>
        <w:t xml:space="preserve"> </w:t>
      </w:r>
      <w:proofErr w:type="spellStart"/>
      <w:r w:rsidR="001C54BE" w:rsidRPr="00FE5EEE">
        <w:rPr>
          <w:rFonts w:ascii="Times New Roman" w:hAnsi="Times New Roman" w:cs="Times New Roman"/>
          <w:b/>
          <w:bCs/>
          <w:sz w:val="28"/>
          <w:szCs w:val="28"/>
        </w:rPr>
        <w:t>моніторингу</w:t>
      </w:r>
      <w:proofErr w:type="spellEnd"/>
      <w:r w:rsidR="001C54BE" w:rsidRPr="00FE5EEE">
        <w:rPr>
          <w:rFonts w:ascii="Times New Roman" w:hAnsi="Times New Roman" w:cs="Times New Roman"/>
          <w:b/>
          <w:bCs/>
          <w:sz w:val="28"/>
          <w:szCs w:val="28"/>
        </w:rPr>
        <w:t xml:space="preserve"> </w:t>
      </w:r>
      <w:proofErr w:type="spellStart"/>
      <w:r w:rsidR="001C54BE" w:rsidRPr="00FE5EEE">
        <w:rPr>
          <w:rFonts w:ascii="Times New Roman" w:hAnsi="Times New Roman" w:cs="Times New Roman"/>
          <w:b/>
          <w:bCs/>
          <w:sz w:val="28"/>
          <w:szCs w:val="28"/>
        </w:rPr>
        <w:t>соціально-економічного</w:t>
      </w:r>
      <w:proofErr w:type="spellEnd"/>
      <w:r w:rsidR="001C54BE" w:rsidRPr="00FE5EEE">
        <w:rPr>
          <w:rFonts w:ascii="Times New Roman" w:hAnsi="Times New Roman" w:cs="Times New Roman"/>
          <w:b/>
          <w:bCs/>
          <w:sz w:val="28"/>
          <w:szCs w:val="28"/>
        </w:rPr>
        <w:t xml:space="preserve"> </w:t>
      </w:r>
      <w:proofErr w:type="spellStart"/>
      <w:r w:rsidR="001C54BE" w:rsidRPr="00FE5EEE">
        <w:rPr>
          <w:rFonts w:ascii="Times New Roman" w:hAnsi="Times New Roman" w:cs="Times New Roman"/>
          <w:b/>
          <w:bCs/>
          <w:sz w:val="28"/>
          <w:szCs w:val="28"/>
        </w:rPr>
        <w:t>розвитку</w:t>
      </w:r>
      <w:proofErr w:type="spellEnd"/>
      <w:r w:rsidR="001C54BE" w:rsidRPr="00FE5EEE">
        <w:rPr>
          <w:rFonts w:ascii="Times New Roman" w:hAnsi="Times New Roman" w:cs="Times New Roman"/>
          <w:b/>
          <w:bCs/>
          <w:sz w:val="28"/>
          <w:szCs w:val="28"/>
        </w:rPr>
        <w:t xml:space="preserve"> </w:t>
      </w:r>
      <w:proofErr w:type="spellStart"/>
      <w:r w:rsidR="001C54BE" w:rsidRPr="00FE5EEE">
        <w:rPr>
          <w:rFonts w:ascii="Times New Roman" w:hAnsi="Times New Roman" w:cs="Times New Roman"/>
          <w:b/>
          <w:bCs/>
          <w:sz w:val="28"/>
          <w:szCs w:val="28"/>
        </w:rPr>
        <w:t>Дарницького</w:t>
      </w:r>
      <w:proofErr w:type="spellEnd"/>
      <w:r w:rsidR="001C54BE" w:rsidRPr="00FE5EEE">
        <w:rPr>
          <w:rFonts w:ascii="Times New Roman" w:hAnsi="Times New Roman" w:cs="Times New Roman"/>
          <w:b/>
          <w:bCs/>
          <w:sz w:val="28"/>
          <w:szCs w:val="28"/>
        </w:rPr>
        <w:t xml:space="preserve"> району </w:t>
      </w:r>
      <w:proofErr w:type="spellStart"/>
      <w:r w:rsidR="001C54BE" w:rsidRPr="00FE5EEE">
        <w:rPr>
          <w:rFonts w:ascii="Times New Roman" w:hAnsi="Times New Roman" w:cs="Times New Roman"/>
          <w:b/>
          <w:bCs/>
          <w:sz w:val="28"/>
          <w:szCs w:val="28"/>
        </w:rPr>
        <w:t>міста</w:t>
      </w:r>
      <w:proofErr w:type="spellEnd"/>
      <w:r w:rsidR="001C54BE" w:rsidRPr="00FE5EEE">
        <w:rPr>
          <w:rFonts w:ascii="Times New Roman" w:hAnsi="Times New Roman" w:cs="Times New Roman"/>
          <w:b/>
          <w:bCs/>
          <w:sz w:val="28"/>
          <w:szCs w:val="28"/>
        </w:rPr>
        <w:t xml:space="preserve"> </w:t>
      </w:r>
      <w:proofErr w:type="spellStart"/>
      <w:r w:rsidR="001C54BE" w:rsidRPr="00FE5EEE">
        <w:rPr>
          <w:rFonts w:ascii="Times New Roman" w:hAnsi="Times New Roman" w:cs="Times New Roman"/>
          <w:b/>
          <w:bCs/>
          <w:sz w:val="28"/>
          <w:szCs w:val="28"/>
        </w:rPr>
        <w:t>Києва</w:t>
      </w:r>
      <w:proofErr w:type="spellEnd"/>
      <w:r w:rsidR="001C54BE" w:rsidRPr="00FE5EEE">
        <w:rPr>
          <w:rFonts w:ascii="Times New Roman" w:hAnsi="Times New Roman" w:cs="Times New Roman"/>
          <w:b/>
          <w:bCs/>
          <w:sz w:val="28"/>
          <w:szCs w:val="28"/>
        </w:rPr>
        <w:t xml:space="preserve"> за І </w:t>
      </w:r>
      <w:proofErr w:type="spellStart"/>
      <w:r w:rsidR="001C54BE" w:rsidRPr="00FE5EEE">
        <w:rPr>
          <w:rFonts w:ascii="Times New Roman" w:hAnsi="Times New Roman" w:cs="Times New Roman"/>
          <w:b/>
          <w:bCs/>
          <w:sz w:val="28"/>
          <w:szCs w:val="28"/>
        </w:rPr>
        <w:t>півріччя</w:t>
      </w:r>
      <w:proofErr w:type="spellEnd"/>
      <w:r w:rsidR="001C54BE" w:rsidRPr="00FE5EEE">
        <w:rPr>
          <w:rFonts w:ascii="Times New Roman" w:hAnsi="Times New Roman" w:cs="Times New Roman"/>
          <w:b/>
          <w:bCs/>
          <w:sz w:val="28"/>
          <w:szCs w:val="28"/>
        </w:rPr>
        <w:t xml:space="preserve"> 2017 року</w:t>
      </w:r>
      <w:r w:rsidRPr="00FE5EEE">
        <w:rPr>
          <w:rFonts w:ascii="Times New Roman" w:hAnsi="Times New Roman" w:cs="Times New Roman"/>
          <w:b/>
          <w:sz w:val="28"/>
          <w:szCs w:val="28"/>
          <w:lang w:val="uk-UA"/>
        </w:rPr>
        <w:t>»</w:t>
      </w:r>
    </w:p>
    <w:p w:rsidR="00156C1E" w:rsidRDefault="00156C1E" w:rsidP="00156C1E">
      <w:pPr>
        <w:spacing w:after="0" w:line="240" w:lineRule="auto"/>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56C1E" w:rsidRPr="00156C1E" w:rsidRDefault="00156C1E" w:rsidP="00156C1E">
      <w:pPr>
        <w:spacing w:after="0" w:line="240" w:lineRule="auto"/>
        <w:outlineLvl w:val="0"/>
        <w:rPr>
          <w:rFonts w:ascii="Times New Roman" w:hAnsi="Times New Roman" w:cs="Times New Roman"/>
          <w:b/>
          <w:bCs/>
          <w:sz w:val="28"/>
          <w:lang w:val="uk-UA"/>
        </w:rPr>
      </w:pPr>
      <w:r>
        <w:rPr>
          <w:rFonts w:ascii="Times New Roman" w:hAnsi="Times New Roman" w:cs="Times New Roman"/>
          <w:sz w:val="28"/>
          <w:szCs w:val="28"/>
          <w:lang w:val="uk-UA"/>
        </w:rPr>
        <w:t xml:space="preserve">                                              </w:t>
      </w:r>
      <w:r w:rsidRPr="00156C1E">
        <w:rPr>
          <w:rFonts w:ascii="Times New Roman" w:hAnsi="Times New Roman" w:cs="Times New Roman"/>
          <w:b/>
          <w:sz w:val="28"/>
          <w:szCs w:val="28"/>
          <w:lang w:val="uk-UA"/>
        </w:rPr>
        <w:t>1.</w:t>
      </w:r>
      <w:r>
        <w:rPr>
          <w:rFonts w:ascii="Times New Roman" w:hAnsi="Times New Roman" w:cs="Times New Roman"/>
          <w:sz w:val="28"/>
          <w:szCs w:val="28"/>
          <w:lang w:val="uk-UA"/>
        </w:rPr>
        <w:t xml:space="preserve"> </w:t>
      </w:r>
      <w:r>
        <w:rPr>
          <w:rFonts w:ascii="Times New Roman" w:hAnsi="Times New Roman" w:cs="Times New Roman"/>
          <w:b/>
          <w:bCs/>
          <w:sz w:val="28"/>
          <w:lang w:val="uk-UA"/>
        </w:rPr>
        <w:t>Демографічна ситуація</w:t>
      </w:r>
    </w:p>
    <w:p w:rsidR="00156C1E" w:rsidRPr="00B56585" w:rsidRDefault="00156C1E" w:rsidP="00156C1E">
      <w:pPr>
        <w:spacing w:after="0" w:line="240" w:lineRule="auto"/>
        <w:jc w:val="both"/>
        <w:rPr>
          <w:sz w:val="16"/>
          <w:szCs w:val="16"/>
          <w:highlight w:val="yellow"/>
          <w:lang w:val="uk-UA"/>
        </w:rPr>
      </w:pPr>
    </w:p>
    <w:p w:rsidR="00156C1E" w:rsidRPr="008820EA" w:rsidRDefault="00156C1E" w:rsidP="00156C1E">
      <w:pPr>
        <w:pStyle w:val="a9"/>
        <w:spacing w:after="0"/>
        <w:ind w:firstLine="709"/>
        <w:jc w:val="both"/>
        <w:rPr>
          <w:sz w:val="28"/>
          <w:szCs w:val="28"/>
        </w:rPr>
      </w:pPr>
      <w:r w:rsidRPr="008820EA">
        <w:rPr>
          <w:sz w:val="28"/>
          <w:szCs w:val="28"/>
        </w:rPr>
        <w:t>Чисельність наявного населення в м.</w:t>
      </w:r>
      <w:r>
        <w:rPr>
          <w:sz w:val="28"/>
          <w:szCs w:val="28"/>
        </w:rPr>
        <w:t xml:space="preserve"> </w:t>
      </w:r>
      <w:r w:rsidRPr="008820EA">
        <w:rPr>
          <w:sz w:val="28"/>
          <w:szCs w:val="28"/>
        </w:rPr>
        <w:t>Києві, за оцінкою, на 1 червня 2017р. становила 2</w:t>
      </w:r>
      <w:r>
        <w:rPr>
          <w:sz w:val="28"/>
          <w:szCs w:val="28"/>
        </w:rPr>
        <w:t xml:space="preserve">928177 осіб, по Дарницькому району – 337706 осіб. </w:t>
      </w:r>
      <w:r w:rsidRPr="008820EA">
        <w:rPr>
          <w:sz w:val="28"/>
          <w:szCs w:val="28"/>
        </w:rPr>
        <w:t xml:space="preserve">Упродовж </w:t>
      </w:r>
      <w:proofErr w:type="spellStart"/>
      <w:r w:rsidRPr="008820EA">
        <w:rPr>
          <w:sz w:val="28"/>
          <w:szCs w:val="28"/>
        </w:rPr>
        <w:t>січня–травня</w:t>
      </w:r>
      <w:proofErr w:type="spellEnd"/>
      <w:r w:rsidRPr="008820EA">
        <w:rPr>
          <w:sz w:val="28"/>
          <w:szCs w:val="28"/>
        </w:rPr>
        <w:t xml:space="preserve"> 2017р. чисельність населення збільшилась </w:t>
      </w:r>
      <w:r>
        <w:rPr>
          <w:sz w:val="28"/>
          <w:szCs w:val="28"/>
        </w:rPr>
        <w:t>по місту Києву на 2417 осіб, по Дарницькому району на 1644 особи.</w:t>
      </w:r>
    </w:p>
    <w:p w:rsidR="00156C1E" w:rsidRDefault="00156C1E" w:rsidP="00156C1E">
      <w:pPr>
        <w:pStyle w:val="ad"/>
        <w:ind w:firstLine="709"/>
        <w:jc w:val="both"/>
        <w:rPr>
          <w:szCs w:val="28"/>
        </w:rPr>
      </w:pPr>
      <w:r w:rsidRPr="008820EA">
        <w:rPr>
          <w:szCs w:val="28"/>
        </w:rPr>
        <w:t>Збільшення чисельності відбулося за ра</w:t>
      </w:r>
      <w:r>
        <w:rPr>
          <w:szCs w:val="28"/>
        </w:rPr>
        <w:t>хунок природного та міграційного приросту.</w:t>
      </w:r>
    </w:p>
    <w:p w:rsidR="00156C1E" w:rsidRDefault="00156C1E" w:rsidP="00156C1E">
      <w:pPr>
        <w:pStyle w:val="ad"/>
        <w:ind w:firstLine="709"/>
        <w:jc w:val="both"/>
        <w:rPr>
          <w:szCs w:val="28"/>
        </w:rPr>
      </w:pPr>
    </w:p>
    <w:p w:rsidR="00156C1E" w:rsidRPr="008820EA" w:rsidRDefault="00156C1E" w:rsidP="00156C1E">
      <w:pPr>
        <w:pStyle w:val="10"/>
        <w:jc w:val="center"/>
        <w:outlineLvl w:val="0"/>
        <w:rPr>
          <w:b/>
          <w:sz w:val="28"/>
          <w:szCs w:val="28"/>
          <w:lang w:val="uk-UA"/>
        </w:rPr>
      </w:pPr>
      <w:r w:rsidRPr="008820EA">
        <w:rPr>
          <w:b/>
          <w:sz w:val="28"/>
          <w:szCs w:val="28"/>
          <w:lang w:val="uk-UA"/>
        </w:rPr>
        <w:t>Чисельність наявного населення</w:t>
      </w:r>
    </w:p>
    <w:p w:rsidR="00156C1E" w:rsidRPr="00230166" w:rsidRDefault="00156C1E" w:rsidP="00156C1E">
      <w:pPr>
        <w:pStyle w:val="10"/>
        <w:jc w:val="right"/>
        <w:rPr>
          <w:sz w:val="28"/>
          <w:szCs w:val="28"/>
          <w:lang w:val="uk-UA"/>
        </w:rPr>
      </w:pPr>
      <w:r w:rsidRPr="00230166">
        <w:rPr>
          <w:sz w:val="28"/>
          <w:szCs w:val="28"/>
          <w:lang w:val="uk-UA"/>
        </w:rPr>
        <w:t>(осіб)</w:t>
      </w:r>
    </w:p>
    <w:tbl>
      <w:tblPr>
        <w:tblW w:w="9072" w:type="dxa"/>
        <w:tblInd w:w="107" w:type="dxa"/>
        <w:tblLayout w:type="fixed"/>
        <w:tblCellMar>
          <w:left w:w="107" w:type="dxa"/>
          <w:right w:w="107" w:type="dxa"/>
        </w:tblCellMar>
        <w:tblLook w:val="0000"/>
      </w:tblPr>
      <w:tblGrid>
        <w:gridCol w:w="3024"/>
        <w:gridCol w:w="3024"/>
        <w:gridCol w:w="3024"/>
      </w:tblGrid>
      <w:tr w:rsidR="00156C1E" w:rsidRPr="00230166" w:rsidTr="003A383A">
        <w:tc>
          <w:tcPr>
            <w:tcW w:w="3024" w:type="dxa"/>
            <w:tcBorders>
              <w:top w:val="single" w:sz="4" w:space="0" w:color="auto"/>
              <w:bottom w:val="single" w:sz="4" w:space="0" w:color="auto"/>
            </w:tcBorders>
            <w:vAlign w:val="center"/>
          </w:tcPr>
          <w:p w:rsidR="00156C1E" w:rsidRPr="00230166" w:rsidRDefault="00156C1E" w:rsidP="00156C1E">
            <w:pPr>
              <w:pStyle w:val="10"/>
              <w:jc w:val="center"/>
              <w:rPr>
                <w:sz w:val="28"/>
                <w:szCs w:val="28"/>
                <w:highlight w:val="yellow"/>
                <w:lang w:val="uk-UA"/>
              </w:rPr>
            </w:pPr>
          </w:p>
        </w:tc>
        <w:tc>
          <w:tcPr>
            <w:tcW w:w="3024" w:type="dxa"/>
            <w:tcBorders>
              <w:top w:val="single" w:sz="4" w:space="0" w:color="auto"/>
              <w:left w:val="single" w:sz="4" w:space="0" w:color="auto"/>
              <w:bottom w:val="single" w:sz="4" w:space="0" w:color="auto"/>
              <w:right w:val="single" w:sz="6" w:space="0" w:color="auto"/>
            </w:tcBorders>
            <w:vAlign w:val="center"/>
          </w:tcPr>
          <w:p w:rsidR="00156C1E" w:rsidRPr="00230166" w:rsidRDefault="00156C1E" w:rsidP="00156C1E">
            <w:pPr>
              <w:pStyle w:val="10"/>
              <w:jc w:val="center"/>
              <w:rPr>
                <w:sz w:val="28"/>
                <w:szCs w:val="28"/>
                <w:lang w:val="uk-UA"/>
              </w:rPr>
            </w:pPr>
            <w:r w:rsidRPr="00230166">
              <w:rPr>
                <w:sz w:val="28"/>
                <w:szCs w:val="28"/>
                <w:lang w:val="uk-UA"/>
              </w:rPr>
              <w:t>На 1 січня 2017р.</w:t>
            </w:r>
          </w:p>
        </w:tc>
        <w:tc>
          <w:tcPr>
            <w:tcW w:w="3024" w:type="dxa"/>
            <w:tcBorders>
              <w:top w:val="single" w:sz="4" w:space="0" w:color="auto"/>
              <w:bottom w:val="single" w:sz="4" w:space="0" w:color="auto"/>
            </w:tcBorders>
            <w:vAlign w:val="center"/>
          </w:tcPr>
          <w:p w:rsidR="00156C1E" w:rsidRPr="00230166" w:rsidRDefault="00156C1E" w:rsidP="00156C1E">
            <w:pPr>
              <w:pStyle w:val="10"/>
              <w:jc w:val="center"/>
              <w:rPr>
                <w:sz w:val="28"/>
                <w:szCs w:val="28"/>
                <w:lang w:val="uk-UA"/>
              </w:rPr>
            </w:pPr>
            <w:r w:rsidRPr="00230166">
              <w:rPr>
                <w:sz w:val="28"/>
                <w:szCs w:val="28"/>
                <w:lang w:val="uk-UA"/>
              </w:rPr>
              <w:t>На 1 червня 2017р.</w:t>
            </w:r>
          </w:p>
        </w:tc>
      </w:tr>
      <w:tr w:rsidR="00156C1E" w:rsidRPr="00230166" w:rsidTr="003A383A">
        <w:trPr>
          <w:trHeight w:val="58"/>
        </w:trPr>
        <w:tc>
          <w:tcPr>
            <w:tcW w:w="3024" w:type="dxa"/>
            <w:vAlign w:val="bottom"/>
          </w:tcPr>
          <w:p w:rsidR="00156C1E" w:rsidRPr="00230166" w:rsidRDefault="00156C1E" w:rsidP="00156C1E">
            <w:pPr>
              <w:pStyle w:val="61"/>
              <w:jc w:val="left"/>
              <w:outlineLvl w:val="5"/>
              <w:rPr>
                <w:b w:val="0"/>
                <w:sz w:val="28"/>
                <w:szCs w:val="28"/>
              </w:rPr>
            </w:pP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p>
        </w:tc>
      </w:tr>
      <w:tr w:rsidR="00156C1E" w:rsidRPr="00230166" w:rsidTr="003A383A">
        <w:trPr>
          <w:trHeight w:val="58"/>
        </w:trPr>
        <w:tc>
          <w:tcPr>
            <w:tcW w:w="3024" w:type="dxa"/>
            <w:vAlign w:val="bottom"/>
          </w:tcPr>
          <w:p w:rsidR="00156C1E" w:rsidRPr="00230166" w:rsidRDefault="00156C1E" w:rsidP="00156C1E">
            <w:pPr>
              <w:pStyle w:val="61"/>
              <w:jc w:val="left"/>
              <w:outlineLvl w:val="5"/>
              <w:rPr>
                <w:sz w:val="28"/>
                <w:szCs w:val="28"/>
              </w:rPr>
            </w:pPr>
            <w:proofErr w:type="spellStart"/>
            <w:r w:rsidRPr="00230166">
              <w:rPr>
                <w:sz w:val="28"/>
                <w:szCs w:val="28"/>
              </w:rPr>
              <w:t>м.Київ</w:t>
            </w:r>
            <w:proofErr w:type="spellEnd"/>
          </w:p>
        </w:tc>
        <w:tc>
          <w:tcPr>
            <w:tcW w:w="3024" w:type="dxa"/>
            <w:vAlign w:val="bottom"/>
          </w:tcPr>
          <w:p w:rsidR="00156C1E" w:rsidRPr="00230166" w:rsidRDefault="00156C1E" w:rsidP="00156C1E">
            <w:pPr>
              <w:spacing w:after="0" w:line="240" w:lineRule="auto"/>
              <w:jc w:val="right"/>
              <w:rPr>
                <w:rFonts w:ascii="Times New Roman" w:hAnsi="Times New Roman" w:cs="Times New Roman"/>
                <w:b/>
                <w:sz w:val="28"/>
                <w:szCs w:val="28"/>
                <w:lang w:val="uk-UA"/>
              </w:rPr>
            </w:pPr>
            <w:r w:rsidRPr="00230166">
              <w:rPr>
                <w:rFonts w:ascii="Times New Roman" w:hAnsi="Times New Roman" w:cs="Times New Roman"/>
                <w:b/>
                <w:sz w:val="28"/>
                <w:szCs w:val="28"/>
                <w:lang w:val="uk-UA"/>
              </w:rPr>
              <w:t>2925760</w:t>
            </w:r>
          </w:p>
        </w:tc>
        <w:tc>
          <w:tcPr>
            <w:tcW w:w="3024" w:type="dxa"/>
            <w:vAlign w:val="bottom"/>
          </w:tcPr>
          <w:p w:rsidR="00156C1E" w:rsidRPr="00230166" w:rsidRDefault="00156C1E" w:rsidP="00156C1E">
            <w:pPr>
              <w:spacing w:after="0" w:line="240" w:lineRule="auto"/>
              <w:jc w:val="right"/>
              <w:rPr>
                <w:rFonts w:ascii="Times New Roman" w:hAnsi="Times New Roman" w:cs="Times New Roman"/>
                <w:b/>
                <w:sz w:val="28"/>
                <w:szCs w:val="28"/>
                <w:lang w:val="uk-UA"/>
              </w:rPr>
            </w:pPr>
            <w:r w:rsidRPr="00230166">
              <w:rPr>
                <w:rFonts w:ascii="Times New Roman" w:hAnsi="Times New Roman" w:cs="Times New Roman"/>
                <w:b/>
                <w:sz w:val="28"/>
                <w:szCs w:val="28"/>
                <w:lang w:val="uk-UA"/>
              </w:rPr>
              <w:t>2928177</w:t>
            </w:r>
          </w:p>
        </w:tc>
      </w:tr>
      <w:tr w:rsidR="00156C1E" w:rsidRPr="00230166" w:rsidTr="003A383A">
        <w:trPr>
          <w:trHeight w:val="80"/>
        </w:trPr>
        <w:tc>
          <w:tcPr>
            <w:tcW w:w="3024" w:type="dxa"/>
            <w:vAlign w:val="bottom"/>
          </w:tcPr>
          <w:p w:rsidR="00156C1E" w:rsidRPr="00230166" w:rsidRDefault="00156C1E" w:rsidP="00156C1E">
            <w:pPr>
              <w:pStyle w:val="210"/>
              <w:ind w:firstLine="0"/>
              <w:rPr>
                <w:sz w:val="28"/>
                <w:szCs w:val="28"/>
              </w:rPr>
            </w:pPr>
            <w:r w:rsidRPr="00230166">
              <w:rPr>
                <w:sz w:val="28"/>
                <w:szCs w:val="28"/>
              </w:rPr>
              <w:t>райони</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p>
        </w:tc>
      </w:tr>
      <w:tr w:rsidR="00156C1E" w:rsidRPr="00230166" w:rsidTr="003A383A">
        <w:trPr>
          <w:trHeight w:val="120"/>
        </w:trPr>
        <w:tc>
          <w:tcPr>
            <w:tcW w:w="3024" w:type="dxa"/>
            <w:vAlign w:val="bottom"/>
          </w:tcPr>
          <w:p w:rsidR="00156C1E" w:rsidRPr="00230166" w:rsidRDefault="00156C1E" w:rsidP="00156C1E">
            <w:pPr>
              <w:pStyle w:val="210"/>
              <w:ind w:firstLine="0"/>
              <w:rPr>
                <w:sz w:val="28"/>
                <w:szCs w:val="28"/>
              </w:rPr>
            </w:pPr>
            <w:r w:rsidRPr="00230166">
              <w:rPr>
                <w:sz w:val="28"/>
                <w:szCs w:val="28"/>
              </w:rPr>
              <w:t>Голосіївський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250925</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251080</w:t>
            </w:r>
          </w:p>
        </w:tc>
      </w:tr>
      <w:tr w:rsidR="00156C1E" w:rsidRPr="00230166" w:rsidTr="003A383A">
        <w:trPr>
          <w:trHeight w:val="91"/>
        </w:trPr>
        <w:tc>
          <w:tcPr>
            <w:tcW w:w="3024" w:type="dxa"/>
            <w:vAlign w:val="bottom"/>
          </w:tcPr>
          <w:p w:rsidR="00156C1E" w:rsidRPr="00230166" w:rsidRDefault="00156C1E" w:rsidP="00156C1E">
            <w:pPr>
              <w:pStyle w:val="20"/>
              <w:spacing w:after="0" w:line="240" w:lineRule="auto"/>
              <w:rPr>
                <w:b/>
                <w:sz w:val="28"/>
                <w:szCs w:val="28"/>
                <w:lang w:val="uk-UA"/>
              </w:rPr>
            </w:pPr>
            <w:r w:rsidRPr="00230166">
              <w:rPr>
                <w:b/>
                <w:sz w:val="28"/>
                <w:szCs w:val="28"/>
                <w:lang w:val="uk-UA"/>
              </w:rPr>
              <w:t>Дарницький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b/>
                <w:sz w:val="28"/>
                <w:szCs w:val="28"/>
                <w:lang w:val="uk-UA"/>
              </w:rPr>
            </w:pPr>
            <w:r w:rsidRPr="00230166">
              <w:rPr>
                <w:rFonts w:ascii="Times New Roman" w:hAnsi="Times New Roman" w:cs="Times New Roman"/>
                <w:b/>
                <w:sz w:val="28"/>
                <w:szCs w:val="28"/>
                <w:lang w:val="uk-UA"/>
              </w:rPr>
              <w:t>336062</w:t>
            </w:r>
          </w:p>
        </w:tc>
        <w:tc>
          <w:tcPr>
            <w:tcW w:w="3024" w:type="dxa"/>
            <w:vAlign w:val="bottom"/>
          </w:tcPr>
          <w:p w:rsidR="00156C1E" w:rsidRPr="00230166" w:rsidRDefault="00156C1E" w:rsidP="00156C1E">
            <w:pPr>
              <w:spacing w:after="0" w:line="240" w:lineRule="auto"/>
              <w:jc w:val="right"/>
              <w:rPr>
                <w:rFonts w:ascii="Times New Roman" w:hAnsi="Times New Roman" w:cs="Times New Roman"/>
                <w:b/>
                <w:sz w:val="28"/>
                <w:szCs w:val="28"/>
                <w:lang w:val="uk-UA"/>
              </w:rPr>
            </w:pPr>
            <w:r w:rsidRPr="00230166">
              <w:rPr>
                <w:rFonts w:ascii="Times New Roman" w:hAnsi="Times New Roman" w:cs="Times New Roman"/>
                <w:b/>
                <w:sz w:val="28"/>
                <w:szCs w:val="28"/>
                <w:lang w:val="uk-UA"/>
              </w:rPr>
              <w:t>337706</w:t>
            </w:r>
          </w:p>
        </w:tc>
      </w:tr>
      <w:tr w:rsidR="00156C1E" w:rsidRPr="00230166" w:rsidTr="003A383A">
        <w:trPr>
          <w:trHeight w:val="80"/>
        </w:trPr>
        <w:tc>
          <w:tcPr>
            <w:tcW w:w="3024" w:type="dxa"/>
            <w:vAlign w:val="bottom"/>
          </w:tcPr>
          <w:p w:rsidR="00156C1E" w:rsidRPr="00230166" w:rsidRDefault="00156C1E" w:rsidP="00156C1E">
            <w:pPr>
              <w:pStyle w:val="20"/>
              <w:spacing w:after="0" w:line="240" w:lineRule="auto"/>
              <w:rPr>
                <w:sz w:val="28"/>
                <w:szCs w:val="28"/>
                <w:lang w:val="uk-UA"/>
              </w:rPr>
            </w:pPr>
            <w:r w:rsidRPr="00230166">
              <w:rPr>
                <w:sz w:val="28"/>
                <w:szCs w:val="28"/>
                <w:lang w:val="uk-UA"/>
              </w:rPr>
              <w:t>Деснянський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369223</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368911</w:t>
            </w:r>
          </w:p>
        </w:tc>
      </w:tr>
      <w:tr w:rsidR="00156C1E" w:rsidRPr="00230166" w:rsidTr="003A383A">
        <w:trPr>
          <w:trHeight w:val="231"/>
        </w:trPr>
        <w:tc>
          <w:tcPr>
            <w:tcW w:w="3024" w:type="dxa"/>
            <w:vAlign w:val="bottom"/>
          </w:tcPr>
          <w:p w:rsidR="00156C1E" w:rsidRPr="00230166" w:rsidRDefault="00156C1E" w:rsidP="00156C1E">
            <w:pPr>
              <w:pStyle w:val="10"/>
              <w:rPr>
                <w:sz w:val="28"/>
                <w:szCs w:val="28"/>
                <w:lang w:val="uk-UA"/>
              </w:rPr>
            </w:pPr>
            <w:r w:rsidRPr="00230166">
              <w:rPr>
                <w:sz w:val="28"/>
                <w:szCs w:val="28"/>
                <w:lang w:val="uk-UA"/>
              </w:rPr>
              <w:t>Дніпровський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355192</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355419</w:t>
            </w:r>
          </w:p>
        </w:tc>
      </w:tr>
      <w:tr w:rsidR="00156C1E" w:rsidRPr="00230166" w:rsidTr="003A383A">
        <w:trPr>
          <w:trHeight w:val="179"/>
        </w:trPr>
        <w:tc>
          <w:tcPr>
            <w:tcW w:w="3024" w:type="dxa"/>
            <w:vAlign w:val="bottom"/>
          </w:tcPr>
          <w:p w:rsidR="00156C1E" w:rsidRPr="00230166" w:rsidRDefault="00156C1E" w:rsidP="00156C1E">
            <w:pPr>
              <w:pStyle w:val="10"/>
              <w:rPr>
                <w:sz w:val="28"/>
                <w:szCs w:val="28"/>
                <w:lang w:val="uk-UA"/>
              </w:rPr>
            </w:pPr>
            <w:proofErr w:type="spellStart"/>
            <w:r w:rsidRPr="00230166">
              <w:rPr>
                <w:sz w:val="28"/>
                <w:szCs w:val="28"/>
                <w:lang w:val="uk-UA"/>
              </w:rPr>
              <w:t>Оболонський</w:t>
            </w:r>
            <w:proofErr w:type="spellEnd"/>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321406</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321229</w:t>
            </w:r>
          </w:p>
        </w:tc>
      </w:tr>
      <w:tr w:rsidR="00156C1E" w:rsidRPr="00230166" w:rsidTr="003A383A">
        <w:trPr>
          <w:trHeight w:val="189"/>
        </w:trPr>
        <w:tc>
          <w:tcPr>
            <w:tcW w:w="3024" w:type="dxa"/>
            <w:vAlign w:val="bottom"/>
          </w:tcPr>
          <w:p w:rsidR="00156C1E" w:rsidRPr="00230166" w:rsidRDefault="00156C1E" w:rsidP="00156C1E">
            <w:pPr>
              <w:pStyle w:val="10"/>
              <w:rPr>
                <w:sz w:val="28"/>
                <w:szCs w:val="28"/>
                <w:lang w:val="uk-UA"/>
              </w:rPr>
            </w:pPr>
            <w:r w:rsidRPr="00230166">
              <w:rPr>
                <w:sz w:val="28"/>
                <w:szCs w:val="28"/>
                <w:lang w:val="uk-UA"/>
              </w:rPr>
              <w:t>Печерський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155091</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156436</w:t>
            </w:r>
          </w:p>
        </w:tc>
      </w:tr>
      <w:tr w:rsidR="00156C1E" w:rsidRPr="00230166" w:rsidTr="003A383A">
        <w:trPr>
          <w:trHeight w:val="139"/>
        </w:trPr>
        <w:tc>
          <w:tcPr>
            <w:tcW w:w="3024" w:type="dxa"/>
            <w:vAlign w:val="bottom"/>
          </w:tcPr>
          <w:p w:rsidR="00156C1E" w:rsidRPr="00230166" w:rsidRDefault="00156C1E" w:rsidP="00156C1E">
            <w:pPr>
              <w:pStyle w:val="10"/>
              <w:widowControl w:val="0"/>
              <w:rPr>
                <w:sz w:val="28"/>
                <w:szCs w:val="28"/>
                <w:lang w:val="uk-UA"/>
              </w:rPr>
            </w:pPr>
            <w:r w:rsidRPr="00230166">
              <w:rPr>
                <w:sz w:val="28"/>
                <w:szCs w:val="28"/>
                <w:lang w:val="uk-UA"/>
              </w:rPr>
              <w:t>Подільський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200035</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200664</w:t>
            </w:r>
          </w:p>
        </w:tc>
      </w:tr>
      <w:tr w:rsidR="00156C1E" w:rsidRPr="00230166" w:rsidTr="003A383A">
        <w:trPr>
          <w:trHeight w:val="259"/>
        </w:trPr>
        <w:tc>
          <w:tcPr>
            <w:tcW w:w="3024" w:type="dxa"/>
            <w:vAlign w:val="bottom"/>
          </w:tcPr>
          <w:p w:rsidR="00156C1E" w:rsidRPr="00230166" w:rsidRDefault="00156C1E" w:rsidP="00156C1E">
            <w:pPr>
              <w:pStyle w:val="10"/>
              <w:rPr>
                <w:sz w:val="28"/>
                <w:szCs w:val="28"/>
                <w:lang w:val="uk-UA"/>
              </w:rPr>
            </w:pPr>
            <w:r w:rsidRPr="00230166">
              <w:rPr>
                <w:sz w:val="28"/>
                <w:szCs w:val="28"/>
                <w:lang w:val="uk-UA"/>
              </w:rPr>
              <w:t>Святошинський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341207</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341305</w:t>
            </w:r>
          </w:p>
        </w:tc>
      </w:tr>
      <w:tr w:rsidR="00156C1E" w:rsidRPr="00230166" w:rsidTr="003A383A">
        <w:trPr>
          <w:trHeight w:val="162"/>
        </w:trPr>
        <w:tc>
          <w:tcPr>
            <w:tcW w:w="3024" w:type="dxa"/>
            <w:vAlign w:val="bottom"/>
          </w:tcPr>
          <w:p w:rsidR="00156C1E" w:rsidRPr="00230166" w:rsidRDefault="00156C1E" w:rsidP="00156C1E">
            <w:pPr>
              <w:pStyle w:val="10"/>
              <w:rPr>
                <w:sz w:val="28"/>
                <w:szCs w:val="28"/>
                <w:lang w:val="uk-UA"/>
              </w:rPr>
            </w:pPr>
            <w:r w:rsidRPr="00230166">
              <w:rPr>
                <w:sz w:val="28"/>
                <w:szCs w:val="28"/>
                <w:lang w:val="uk-UA"/>
              </w:rPr>
              <w:t>Солом’янський</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370106</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370288</w:t>
            </w:r>
          </w:p>
        </w:tc>
      </w:tr>
      <w:tr w:rsidR="00156C1E" w:rsidRPr="00230166" w:rsidTr="003A383A">
        <w:trPr>
          <w:trHeight w:val="147"/>
        </w:trPr>
        <w:tc>
          <w:tcPr>
            <w:tcW w:w="3024" w:type="dxa"/>
            <w:vAlign w:val="bottom"/>
          </w:tcPr>
          <w:p w:rsidR="00156C1E" w:rsidRPr="00230166" w:rsidRDefault="00156C1E" w:rsidP="00156C1E">
            <w:pPr>
              <w:pStyle w:val="10"/>
              <w:rPr>
                <w:sz w:val="28"/>
                <w:szCs w:val="28"/>
                <w:lang w:val="uk-UA"/>
              </w:rPr>
            </w:pPr>
            <w:r w:rsidRPr="00230166">
              <w:rPr>
                <w:sz w:val="28"/>
                <w:szCs w:val="28"/>
                <w:lang w:val="uk-UA"/>
              </w:rPr>
              <w:t xml:space="preserve">Шевченківський </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226513</w:t>
            </w:r>
          </w:p>
        </w:tc>
        <w:tc>
          <w:tcPr>
            <w:tcW w:w="3024" w:type="dxa"/>
            <w:vAlign w:val="bottom"/>
          </w:tcPr>
          <w:p w:rsidR="00156C1E" w:rsidRPr="00230166" w:rsidRDefault="00156C1E" w:rsidP="00156C1E">
            <w:pPr>
              <w:spacing w:after="0" w:line="240" w:lineRule="auto"/>
              <w:jc w:val="right"/>
              <w:rPr>
                <w:rFonts w:ascii="Times New Roman" w:hAnsi="Times New Roman" w:cs="Times New Roman"/>
                <w:sz w:val="28"/>
                <w:szCs w:val="28"/>
                <w:lang w:val="uk-UA"/>
              </w:rPr>
            </w:pPr>
            <w:r w:rsidRPr="00230166">
              <w:rPr>
                <w:rFonts w:ascii="Times New Roman" w:hAnsi="Times New Roman" w:cs="Times New Roman"/>
                <w:sz w:val="28"/>
                <w:szCs w:val="28"/>
                <w:lang w:val="uk-UA"/>
              </w:rPr>
              <w:t>225139</w:t>
            </w:r>
          </w:p>
        </w:tc>
      </w:tr>
    </w:tbl>
    <w:p w:rsidR="00156C1E" w:rsidRDefault="00156C1E" w:rsidP="00156C1E">
      <w:pPr>
        <w:tabs>
          <w:tab w:val="left" w:pos="426"/>
        </w:tabs>
        <w:autoSpaceDE w:val="0"/>
        <w:autoSpaceDN w:val="0"/>
        <w:adjustRightInd w:val="0"/>
        <w:spacing w:after="0" w:line="240" w:lineRule="auto"/>
        <w:jc w:val="both"/>
        <w:rPr>
          <w:rFonts w:ascii="Times New Roman" w:hAnsi="Times New Roman" w:cs="Times New Roman"/>
          <w:sz w:val="28"/>
          <w:szCs w:val="28"/>
          <w:lang w:val="uk-UA"/>
        </w:rPr>
      </w:pPr>
    </w:p>
    <w:p w:rsidR="001C54BE" w:rsidRDefault="00156C1E" w:rsidP="001C54BE">
      <w:pPr>
        <w:tabs>
          <w:tab w:val="left" w:pos="426"/>
        </w:tabs>
        <w:autoSpaceDE w:val="0"/>
        <w:autoSpaceDN w:val="0"/>
        <w:adjustRightInd w:val="0"/>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2</w:t>
      </w:r>
      <w:r w:rsidR="001C54BE" w:rsidRPr="001C54BE">
        <w:rPr>
          <w:rFonts w:ascii="Times New Roman" w:hAnsi="Times New Roman" w:cs="Times New Roman"/>
          <w:b/>
          <w:sz w:val="28"/>
          <w:szCs w:val="28"/>
          <w:lang w:val="uk-UA"/>
        </w:rPr>
        <w:t xml:space="preserve">. Промисловість </w:t>
      </w:r>
    </w:p>
    <w:p w:rsidR="005E77E0" w:rsidRPr="001C54BE" w:rsidRDefault="005E77E0" w:rsidP="001C54BE">
      <w:pPr>
        <w:tabs>
          <w:tab w:val="left" w:pos="426"/>
        </w:tabs>
        <w:autoSpaceDE w:val="0"/>
        <w:autoSpaceDN w:val="0"/>
        <w:adjustRightInd w:val="0"/>
        <w:spacing w:after="0" w:line="240" w:lineRule="auto"/>
        <w:ind w:firstLine="567"/>
        <w:jc w:val="both"/>
        <w:rPr>
          <w:rFonts w:ascii="Times New Roman" w:hAnsi="Times New Roman" w:cs="Times New Roman"/>
          <w:b/>
          <w:sz w:val="28"/>
          <w:szCs w:val="28"/>
          <w:lang w:val="uk-UA"/>
        </w:rPr>
      </w:pPr>
    </w:p>
    <w:p w:rsidR="005E77E0" w:rsidRPr="005E77E0" w:rsidRDefault="005E77E0" w:rsidP="005E77E0">
      <w:pPr>
        <w:widowControl w:val="0"/>
        <w:suppressAutoHyphens/>
        <w:spacing w:after="0" w:line="240" w:lineRule="auto"/>
        <w:ind w:firstLine="709"/>
        <w:jc w:val="both"/>
        <w:rPr>
          <w:rFonts w:ascii="Times New Roman" w:eastAsia="Andale Sans UI" w:hAnsi="Times New Roman" w:cs="Times New Roman"/>
          <w:spacing w:val="-6"/>
          <w:kern w:val="2"/>
          <w:sz w:val="28"/>
          <w:szCs w:val="28"/>
          <w:lang w:val="uk-UA" w:eastAsia="ar-SA"/>
        </w:rPr>
      </w:pPr>
      <w:r w:rsidRPr="005E77E0">
        <w:rPr>
          <w:rFonts w:ascii="Times New Roman" w:eastAsia="Andale Sans UI" w:hAnsi="Times New Roman" w:cs="Times New Roman"/>
          <w:kern w:val="2"/>
          <w:sz w:val="28"/>
          <w:szCs w:val="28"/>
          <w:lang w:val="uk-UA"/>
        </w:rPr>
        <w:t>Станом на 01.07.2017</w:t>
      </w:r>
      <w:r w:rsidRPr="005E77E0">
        <w:rPr>
          <w:rFonts w:ascii="Times New Roman" w:eastAsia="Andale Sans UI" w:hAnsi="Times New Roman" w:cs="Times New Roman"/>
          <w:spacing w:val="-6"/>
          <w:kern w:val="2"/>
          <w:sz w:val="28"/>
          <w:szCs w:val="28"/>
          <w:lang w:val="uk-UA" w:eastAsia="ar-SA"/>
        </w:rPr>
        <w:t xml:space="preserve"> до </w:t>
      </w:r>
      <w:r w:rsidRPr="005E77E0">
        <w:rPr>
          <w:rFonts w:ascii="Times New Roman" w:eastAsia="Andale Sans UI" w:hAnsi="Times New Roman" w:cs="Times New Roman"/>
          <w:kern w:val="2"/>
          <w:sz w:val="28"/>
          <w:szCs w:val="28"/>
          <w:lang w:val="uk-UA"/>
        </w:rPr>
        <w:t xml:space="preserve">переліку промислових підприємств Дарницького району, які звітують за формою №1-ПЕ (місячна),  </w:t>
      </w:r>
      <w:r w:rsidRPr="005E77E0">
        <w:rPr>
          <w:rFonts w:ascii="Times New Roman" w:eastAsia="Andale Sans UI" w:hAnsi="Times New Roman" w:cs="Times New Roman"/>
          <w:spacing w:val="-6"/>
          <w:kern w:val="2"/>
          <w:sz w:val="28"/>
          <w:szCs w:val="28"/>
          <w:lang w:val="uk-UA" w:eastAsia="ar-SA"/>
        </w:rPr>
        <w:t xml:space="preserve">входить 68 підприємств, </w:t>
      </w:r>
      <w:r w:rsidRPr="005E77E0">
        <w:rPr>
          <w:rFonts w:ascii="Times New Roman" w:eastAsia="Andale Sans UI" w:hAnsi="Times New Roman" w:cs="Times New Roman"/>
          <w:spacing w:val="-6"/>
          <w:kern w:val="1"/>
          <w:sz w:val="28"/>
          <w:szCs w:val="28"/>
          <w:lang w:val="uk-UA" w:eastAsia="ar-SA"/>
        </w:rPr>
        <w:t>розподілених  за 10 видами діяльності.</w:t>
      </w:r>
      <w:r w:rsidRPr="005E77E0">
        <w:rPr>
          <w:rFonts w:ascii="Times New Roman" w:eastAsia="Andale Sans UI" w:hAnsi="Times New Roman" w:cs="Times New Roman"/>
          <w:spacing w:val="-6"/>
          <w:kern w:val="2"/>
          <w:sz w:val="28"/>
          <w:szCs w:val="28"/>
          <w:lang w:val="uk-UA" w:eastAsia="ar-SA"/>
        </w:rPr>
        <w:t xml:space="preserve"> </w:t>
      </w:r>
    </w:p>
    <w:p w:rsidR="005E77E0" w:rsidRPr="005E77E0" w:rsidRDefault="005E77E0" w:rsidP="005E77E0">
      <w:pPr>
        <w:widowControl w:val="0"/>
        <w:suppressAutoHyphens/>
        <w:spacing w:after="0" w:line="240" w:lineRule="auto"/>
        <w:ind w:firstLine="709"/>
        <w:jc w:val="both"/>
        <w:rPr>
          <w:rFonts w:ascii="Times New Roman" w:eastAsia="Andale Sans UI" w:hAnsi="Times New Roman" w:cs="Times New Roman"/>
          <w:spacing w:val="-6"/>
          <w:kern w:val="2"/>
          <w:sz w:val="28"/>
          <w:szCs w:val="28"/>
          <w:lang w:val="uk-UA" w:eastAsia="ar-SA"/>
        </w:rPr>
      </w:pPr>
      <w:r w:rsidRPr="005E77E0">
        <w:rPr>
          <w:rFonts w:ascii="Times New Roman" w:hAnsi="Times New Roman" w:cs="Times New Roman"/>
          <w:spacing w:val="-6"/>
          <w:kern w:val="1"/>
          <w:sz w:val="28"/>
          <w:szCs w:val="28"/>
          <w:lang w:val="uk-UA" w:eastAsia="ar-SA"/>
        </w:rPr>
        <w:t xml:space="preserve">За попередніми даними в січні-червні 2017 року промисловими </w:t>
      </w:r>
      <w:r w:rsidRPr="005E77E0">
        <w:rPr>
          <w:rFonts w:ascii="Times New Roman" w:hAnsi="Times New Roman" w:cs="Times New Roman"/>
          <w:spacing w:val="-6"/>
          <w:kern w:val="1"/>
          <w:sz w:val="28"/>
          <w:szCs w:val="28"/>
          <w:lang w:val="uk-UA" w:eastAsia="ar-SA"/>
        </w:rPr>
        <w:lastRenderedPageBreak/>
        <w:t xml:space="preserve">підприємствами  Дарницького  району реалізовано промислової продукції на суму близько 2,5 млрд. грн. </w:t>
      </w:r>
      <w:r w:rsidRPr="005E77E0">
        <w:rPr>
          <w:rFonts w:ascii="Times New Roman" w:eastAsia="Andale Sans UI" w:hAnsi="Times New Roman" w:cs="Times New Roman"/>
          <w:kern w:val="1"/>
          <w:sz w:val="28"/>
          <w:szCs w:val="28"/>
          <w:lang w:val="uk-UA" w:eastAsia="ar-SA"/>
        </w:rPr>
        <w:t>За  статистичними даними</w:t>
      </w:r>
      <w:r w:rsidRPr="005E77E0">
        <w:rPr>
          <w:rFonts w:ascii="Times New Roman" w:hAnsi="Times New Roman" w:cs="Times New Roman"/>
          <w:kern w:val="1"/>
          <w:sz w:val="28"/>
          <w:szCs w:val="28"/>
          <w:lang w:val="uk-UA" w:eastAsia="ar-SA"/>
        </w:rPr>
        <w:t xml:space="preserve"> за </w:t>
      </w:r>
      <w:r w:rsidRPr="005E77E0">
        <w:rPr>
          <w:rFonts w:ascii="Times New Roman" w:eastAsia="Andale Sans UI" w:hAnsi="Times New Roman" w:cs="Times New Roman"/>
          <w:kern w:val="1"/>
          <w:sz w:val="28"/>
          <w:szCs w:val="28"/>
          <w:lang w:val="uk-UA" w:eastAsia="ar-SA"/>
        </w:rPr>
        <w:t>січень-травень 2017 року</w:t>
      </w:r>
      <w:r w:rsidRPr="005E77E0">
        <w:rPr>
          <w:rFonts w:ascii="Times New Roman" w:hAnsi="Times New Roman" w:cs="Times New Roman"/>
          <w:kern w:val="1"/>
          <w:sz w:val="28"/>
          <w:szCs w:val="28"/>
          <w:lang w:val="uk-UA" w:eastAsia="ar-SA"/>
        </w:rPr>
        <w:t xml:space="preserve"> обсяги реалізованої  продукції по Дарницькому району  склали 2086,7  млн. грн., що на 491,5 млн. грн. більше в порівнянні з відповідним періодом 2016 року. </w:t>
      </w:r>
      <w:r w:rsidRPr="005E77E0">
        <w:rPr>
          <w:rFonts w:ascii="Times New Roman" w:hAnsi="Times New Roman" w:cs="Times New Roman"/>
          <w:kern w:val="2"/>
          <w:sz w:val="28"/>
          <w:szCs w:val="28"/>
          <w:lang w:val="uk-UA" w:eastAsia="ar-SA"/>
        </w:rPr>
        <w:t xml:space="preserve">Питома вага обсягів реалізованої  промислової продукції Дарницького району в загальноміських обсягах реалізації складає  2,9%. </w:t>
      </w:r>
    </w:p>
    <w:p w:rsidR="005E77E0" w:rsidRPr="005E77E0" w:rsidRDefault="005E77E0" w:rsidP="005E77E0">
      <w:pPr>
        <w:widowControl w:val="0"/>
        <w:suppressAutoHyphens/>
        <w:spacing w:after="0" w:line="240" w:lineRule="auto"/>
        <w:ind w:firstLine="709"/>
        <w:jc w:val="both"/>
        <w:rPr>
          <w:rFonts w:ascii="Times New Roman" w:eastAsia="Arial Unicode MS" w:hAnsi="Times New Roman" w:cs="Times New Roman"/>
          <w:color w:val="FF0000"/>
          <w:sz w:val="28"/>
          <w:szCs w:val="28"/>
          <w:lang w:val="uk-UA"/>
        </w:rPr>
      </w:pPr>
      <w:r w:rsidRPr="005E77E0">
        <w:rPr>
          <w:rFonts w:ascii="Times New Roman" w:eastAsia="Arial Unicode MS" w:hAnsi="Times New Roman" w:cs="Times New Roman"/>
          <w:spacing w:val="-6"/>
          <w:sz w:val="28"/>
          <w:szCs w:val="28"/>
          <w:lang w:val="uk-UA"/>
        </w:rPr>
        <w:t>О</w:t>
      </w:r>
      <w:r w:rsidRPr="005E77E0">
        <w:rPr>
          <w:rFonts w:ascii="Times New Roman" w:eastAsia="Arial Unicode MS" w:hAnsi="Times New Roman" w:cs="Times New Roman"/>
          <w:sz w:val="28"/>
          <w:szCs w:val="28"/>
          <w:lang w:val="uk-UA"/>
        </w:rPr>
        <w:t xml:space="preserve">бсяг реалізованої промислової продукції у розрахунку на одного працюючого в промисловій діяльності по Дарницькому району за січень-травень 2017 року становить    375,9  </w:t>
      </w:r>
      <w:proofErr w:type="spellStart"/>
      <w:r w:rsidRPr="005E77E0">
        <w:rPr>
          <w:rFonts w:ascii="Times New Roman" w:eastAsia="Arial Unicode MS" w:hAnsi="Times New Roman" w:cs="Times New Roman"/>
          <w:sz w:val="28"/>
          <w:szCs w:val="28"/>
          <w:lang w:val="uk-UA"/>
        </w:rPr>
        <w:t>тис.грн</w:t>
      </w:r>
      <w:proofErr w:type="spellEnd"/>
      <w:r w:rsidRPr="005E77E0">
        <w:rPr>
          <w:rFonts w:ascii="Times New Roman" w:eastAsia="Arial Unicode MS" w:hAnsi="Times New Roman" w:cs="Times New Roman"/>
          <w:sz w:val="28"/>
          <w:szCs w:val="28"/>
          <w:lang w:val="uk-UA"/>
        </w:rPr>
        <w:t xml:space="preserve">., </w:t>
      </w:r>
      <w:r w:rsidRPr="005E77E0">
        <w:rPr>
          <w:rFonts w:ascii="Times New Roman" w:eastAsia="Arial Unicode MS" w:hAnsi="Times New Roman" w:cs="Times New Roman"/>
          <w:spacing w:val="-6"/>
          <w:sz w:val="28"/>
          <w:szCs w:val="28"/>
          <w:lang w:val="uk-UA"/>
        </w:rPr>
        <w:t xml:space="preserve">що відповідає </w:t>
      </w:r>
      <w:r w:rsidRPr="005E77E0">
        <w:rPr>
          <w:rFonts w:ascii="Times New Roman" w:eastAsia="Arial Unicode MS" w:hAnsi="Times New Roman" w:cs="Times New Roman"/>
          <w:sz w:val="28"/>
          <w:szCs w:val="28"/>
          <w:lang w:val="uk-UA"/>
        </w:rPr>
        <w:t>6 місцю серед районів міста Києва за відповідним показником.</w:t>
      </w:r>
      <w:r w:rsidRPr="005E77E0">
        <w:rPr>
          <w:rFonts w:ascii="Times New Roman" w:eastAsia="Arial Unicode MS" w:hAnsi="Times New Roman" w:cs="Times New Roman"/>
          <w:color w:val="FF0000"/>
          <w:sz w:val="28"/>
          <w:szCs w:val="28"/>
          <w:lang w:val="uk-UA"/>
        </w:rPr>
        <w:t xml:space="preserve">  </w:t>
      </w:r>
    </w:p>
    <w:p w:rsidR="005E77E0" w:rsidRPr="005E77E0" w:rsidRDefault="005E77E0" w:rsidP="005E77E0">
      <w:pPr>
        <w:widowControl w:val="0"/>
        <w:suppressAutoHyphens/>
        <w:spacing w:after="0" w:line="240" w:lineRule="auto"/>
        <w:ind w:firstLine="706"/>
        <w:jc w:val="both"/>
        <w:rPr>
          <w:rFonts w:ascii="Times New Roman" w:eastAsia="Arial Unicode MS" w:hAnsi="Times New Roman" w:cs="Times New Roman"/>
          <w:sz w:val="28"/>
          <w:szCs w:val="28"/>
          <w:lang w:val="uk-UA"/>
        </w:rPr>
      </w:pPr>
      <w:r w:rsidRPr="005E77E0">
        <w:rPr>
          <w:rFonts w:ascii="Times New Roman" w:hAnsi="Times New Roman" w:cs="Times New Roman"/>
          <w:sz w:val="28"/>
          <w:szCs w:val="28"/>
          <w:lang w:val="uk-UA"/>
        </w:rPr>
        <w:t>Найбільша питома вага реалізованої промислової продукції в загально районних обсягах реалізації припадає на підприємства з виробництва фармацевтичних препаратів – 46,8%,  машинобудування – 28,2%  та з виробництва  іншої неметалевої мінеральної продукції та металургії -</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10,9%. </w:t>
      </w:r>
    </w:p>
    <w:p w:rsidR="005E77E0" w:rsidRPr="005E77E0" w:rsidRDefault="005E77E0" w:rsidP="005E77E0">
      <w:pPr>
        <w:spacing w:after="0" w:line="240" w:lineRule="auto"/>
        <w:ind w:firstLine="706"/>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 xml:space="preserve">Питома вага реалізованої продукції потужними промисловими підприємствами Дарницького району: </w:t>
      </w:r>
      <w:proofErr w:type="spellStart"/>
      <w:r w:rsidRPr="005E77E0">
        <w:rPr>
          <w:rFonts w:ascii="Times New Roman" w:hAnsi="Times New Roman" w:cs="Times New Roman"/>
          <w:sz w:val="28"/>
          <w:szCs w:val="28"/>
          <w:lang w:val="uk-UA"/>
        </w:rPr>
        <w:t>ПрАТ</w:t>
      </w:r>
      <w:proofErr w:type="spellEnd"/>
      <w:r w:rsidRPr="005E77E0">
        <w:rPr>
          <w:rFonts w:ascii="Times New Roman" w:hAnsi="Times New Roman" w:cs="Times New Roman"/>
          <w:sz w:val="28"/>
          <w:szCs w:val="28"/>
          <w:lang w:val="uk-UA"/>
        </w:rPr>
        <w:t xml:space="preserve"> </w:t>
      </w:r>
      <w:proofErr w:type="spellStart"/>
      <w:r w:rsidRPr="005E77E0">
        <w:rPr>
          <w:rFonts w:ascii="Times New Roman" w:hAnsi="Times New Roman" w:cs="Times New Roman"/>
          <w:sz w:val="28"/>
          <w:szCs w:val="28"/>
          <w:lang w:val="uk-UA"/>
        </w:rPr>
        <w:t>“Фармацевтична</w:t>
      </w:r>
      <w:proofErr w:type="spellEnd"/>
      <w:r w:rsidRPr="005E77E0">
        <w:rPr>
          <w:rFonts w:ascii="Times New Roman" w:hAnsi="Times New Roman" w:cs="Times New Roman"/>
          <w:sz w:val="28"/>
          <w:szCs w:val="28"/>
          <w:lang w:val="uk-UA"/>
        </w:rPr>
        <w:t xml:space="preserve"> фірма </w:t>
      </w:r>
      <w:proofErr w:type="spellStart"/>
      <w:r w:rsidRPr="005E77E0">
        <w:rPr>
          <w:rFonts w:ascii="Times New Roman" w:hAnsi="Times New Roman" w:cs="Times New Roman"/>
          <w:sz w:val="28"/>
          <w:szCs w:val="28"/>
          <w:lang w:val="uk-UA"/>
        </w:rPr>
        <w:t>“Дарниця”</w:t>
      </w:r>
      <w:proofErr w:type="spellEnd"/>
      <w:r w:rsidRPr="005E77E0">
        <w:rPr>
          <w:rFonts w:ascii="Times New Roman" w:hAnsi="Times New Roman" w:cs="Times New Roman"/>
          <w:sz w:val="28"/>
          <w:szCs w:val="28"/>
          <w:lang w:val="uk-UA"/>
        </w:rPr>
        <w:t xml:space="preserve">, </w:t>
      </w:r>
      <w:proofErr w:type="spellStart"/>
      <w:r w:rsidRPr="005E77E0">
        <w:rPr>
          <w:rFonts w:ascii="Times New Roman" w:hAnsi="Times New Roman" w:cs="Times New Roman"/>
          <w:sz w:val="28"/>
          <w:szCs w:val="28"/>
          <w:lang w:val="uk-UA"/>
        </w:rPr>
        <w:t>ДП</w:t>
      </w:r>
      <w:proofErr w:type="spellEnd"/>
      <w:r w:rsidRPr="005E77E0">
        <w:rPr>
          <w:rFonts w:ascii="Times New Roman" w:hAnsi="Times New Roman" w:cs="Times New Roman"/>
          <w:sz w:val="28"/>
          <w:szCs w:val="28"/>
          <w:lang w:val="uk-UA"/>
        </w:rPr>
        <w:t xml:space="preserve"> «Київський бронетанковий завод» та </w:t>
      </w:r>
      <w:proofErr w:type="spellStart"/>
      <w:r w:rsidRPr="005E77E0">
        <w:rPr>
          <w:rFonts w:ascii="Times New Roman" w:hAnsi="Times New Roman" w:cs="Times New Roman"/>
          <w:spacing w:val="-6"/>
          <w:sz w:val="28"/>
          <w:szCs w:val="28"/>
          <w:lang w:val="uk-UA"/>
        </w:rPr>
        <w:t>ПрАТ</w:t>
      </w:r>
      <w:proofErr w:type="spellEnd"/>
      <w:r w:rsidRPr="005E77E0">
        <w:rPr>
          <w:rFonts w:ascii="Times New Roman" w:hAnsi="Times New Roman" w:cs="Times New Roman"/>
          <w:spacing w:val="-6"/>
          <w:sz w:val="28"/>
          <w:szCs w:val="28"/>
          <w:lang w:val="uk-UA"/>
        </w:rPr>
        <w:t xml:space="preserve"> «По виробництву інсулінів «</w:t>
      </w:r>
      <w:proofErr w:type="spellStart"/>
      <w:r w:rsidRPr="005E77E0">
        <w:rPr>
          <w:rFonts w:ascii="Times New Roman" w:hAnsi="Times New Roman" w:cs="Times New Roman"/>
          <w:spacing w:val="-6"/>
          <w:sz w:val="28"/>
          <w:szCs w:val="28"/>
          <w:lang w:val="uk-UA"/>
        </w:rPr>
        <w:t>Індар</w:t>
      </w:r>
      <w:proofErr w:type="spellEnd"/>
      <w:r w:rsidRPr="005E77E0">
        <w:rPr>
          <w:rFonts w:ascii="Times New Roman" w:hAnsi="Times New Roman" w:cs="Times New Roman"/>
          <w:spacing w:val="-6"/>
          <w:sz w:val="28"/>
          <w:szCs w:val="28"/>
          <w:lang w:val="uk-UA"/>
        </w:rPr>
        <w:t xml:space="preserve">»,  становить 62,0% </w:t>
      </w:r>
      <w:r w:rsidRPr="005E77E0">
        <w:rPr>
          <w:rFonts w:ascii="Times New Roman" w:hAnsi="Times New Roman" w:cs="Times New Roman"/>
          <w:sz w:val="28"/>
          <w:szCs w:val="28"/>
          <w:lang w:val="uk-UA"/>
        </w:rPr>
        <w:t>загально районних обсягів реалізації.</w:t>
      </w:r>
    </w:p>
    <w:p w:rsidR="005E77E0" w:rsidRPr="005E77E0" w:rsidRDefault="005E77E0" w:rsidP="005E77E0">
      <w:pPr>
        <w:widowControl w:val="0"/>
        <w:shd w:val="clear" w:color="auto" w:fill="FFFFFF"/>
        <w:suppressAutoHyphens/>
        <w:spacing w:after="0" w:line="240" w:lineRule="auto"/>
        <w:ind w:firstLine="706"/>
        <w:jc w:val="both"/>
        <w:rPr>
          <w:rFonts w:ascii="Times New Roman" w:hAnsi="Times New Roman" w:cs="Times New Roman"/>
          <w:spacing w:val="-6"/>
          <w:sz w:val="28"/>
          <w:szCs w:val="28"/>
          <w:lang w:val="uk-UA"/>
        </w:rPr>
      </w:pPr>
      <w:r w:rsidRPr="005E77E0">
        <w:rPr>
          <w:rFonts w:ascii="Times New Roman" w:eastAsia="Andale Sans UI" w:hAnsi="Times New Roman" w:cs="Times New Roman"/>
          <w:spacing w:val="-6"/>
          <w:kern w:val="2"/>
          <w:sz w:val="28"/>
          <w:szCs w:val="28"/>
          <w:lang w:val="uk-UA" w:eastAsia="ar-SA"/>
        </w:rPr>
        <w:t>З</w:t>
      </w:r>
      <w:r w:rsidRPr="005E77E0">
        <w:rPr>
          <w:rFonts w:ascii="Times New Roman" w:eastAsia="Andale Sans UI" w:hAnsi="Times New Roman" w:cs="Times New Roman"/>
          <w:kern w:val="2"/>
          <w:sz w:val="28"/>
          <w:szCs w:val="28"/>
          <w:lang w:val="uk-UA" w:eastAsia="ar-SA"/>
        </w:rPr>
        <w:t xml:space="preserve">а статистичними даними </w:t>
      </w:r>
      <w:r w:rsidRPr="005E77E0">
        <w:rPr>
          <w:rFonts w:ascii="Times New Roman" w:hAnsi="Times New Roman" w:cs="Times New Roman"/>
          <w:kern w:val="2"/>
          <w:sz w:val="28"/>
          <w:szCs w:val="28"/>
          <w:lang w:val="uk-UA" w:eastAsia="ar-SA"/>
        </w:rPr>
        <w:t xml:space="preserve">за січень-травень 2017 року  підприємствами Дарницького району реалізовано продукції за межі України на суму 354,6 млн. грн., що становить 17,0% від загально районних обсягів реалізації промислової продукції. Найбільші експортери Дарницького району: </w:t>
      </w:r>
      <w:proofErr w:type="spellStart"/>
      <w:r w:rsidRPr="005E77E0">
        <w:rPr>
          <w:rFonts w:ascii="Times New Roman" w:hAnsi="Times New Roman" w:cs="Times New Roman"/>
          <w:sz w:val="28"/>
          <w:szCs w:val="28"/>
          <w:lang w:val="uk-UA"/>
        </w:rPr>
        <w:t>ПрАТ</w:t>
      </w:r>
      <w:proofErr w:type="spellEnd"/>
      <w:r w:rsidRPr="005E77E0">
        <w:rPr>
          <w:rFonts w:ascii="Times New Roman" w:hAnsi="Times New Roman" w:cs="Times New Roman"/>
          <w:sz w:val="28"/>
          <w:szCs w:val="28"/>
          <w:lang w:val="uk-UA"/>
        </w:rPr>
        <w:t xml:space="preserve"> </w:t>
      </w:r>
      <w:proofErr w:type="spellStart"/>
      <w:r w:rsidRPr="005E77E0">
        <w:rPr>
          <w:rFonts w:ascii="Times New Roman" w:hAnsi="Times New Roman" w:cs="Times New Roman"/>
          <w:sz w:val="28"/>
          <w:szCs w:val="28"/>
          <w:lang w:val="uk-UA"/>
        </w:rPr>
        <w:t>“Фармацевтична</w:t>
      </w:r>
      <w:proofErr w:type="spellEnd"/>
      <w:r w:rsidRPr="005E77E0">
        <w:rPr>
          <w:rFonts w:ascii="Times New Roman" w:hAnsi="Times New Roman" w:cs="Times New Roman"/>
          <w:sz w:val="28"/>
          <w:szCs w:val="28"/>
          <w:lang w:val="uk-UA"/>
        </w:rPr>
        <w:t xml:space="preserve"> фірма </w:t>
      </w:r>
      <w:proofErr w:type="spellStart"/>
      <w:r w:rsidRPr="005E77E0">
        <w:rPr>
          <w:rFonts w:ascii="Times New Roman" w:hAnsi="Times New Roman" w:cs="Times New Roman"/>
          <w:sz w:val="28"/>
          <w:szCs w:val="28"/>
          <w:lang w:val="uk-UA"/>
        </w:rPr>
        <w:t>“Дарниця”</w:t>
      </w:r>
      <w:proofErr w:type="spellEnd"/>
      <w:r w:rsidRPr="005E77E0">
        <w:rPr>
          <w:rFonts w:ascii="Times New Roman" w:hAnsi="Times New Roman" w:cs="Times New Roman"/>
          <w:sz w:val="28"/>
          <w:szCs w:val="28"/>
          <w:lang w:val="uk-UA"/>
        </w:rPr>
        <w:t xml:space="preserve">,  </w:t>
      </w:r>
      <w:proofErr w:type="spellStart"/>
      <w:r w:rsidRPr="005E77E0">
        <w:rPr>
          <w:rFonts w:ascii="Times New Roman" w:hAnsi="Times New Roman" w:cs="Times New Roman"/>
          <w:spacing w:val="-6"/>
          <w:sz w:val="28"/>
          <w:szCs w:val="28"/>
          <w:lang w:val="uk-UA"/>
        </w:rPr>
        <w:t>ПрАТ</w:t>
      </w:r>
      <w:proofErr w:type="spellEnd"/>
      <w:r w:rsidRPr="005E77E0">
        <w:rPr>
          <w:rFonts w:ascii="Times New Roman" w:hAnsi="Times New Roman" w:cs="Times New Roman"/>
          <w:spacing w:val="-6"/>
          <w:sz w:val="28"/>
          <w:szCs w:val="28"/>
          <w:lang w:val="uk-UA"/>
        </w:rPr>
        <w:t xml:space="preserve"> «По виробництву інсулінів «</w:t>
      </w:r>
      <w:proofErr w:type="spellStart"/>
      <w:r w:rsidRPr="005E77E0">
        <w:rPr>
          <w:rFonts w:ascii="Times New Roman" w:hAnsi="Times New Roman" w:cs="Times New Roman"/>
          <w:spacing w:val="-6"/>
          <w:sz w:val="28"/>
          <w:szCs w:val="28"/>
          <w:lang w:val="uk-UA"/>
        </w:rPr>
        <w:t>Індар</w:t>
      </w:r>
      <w:proofErr w:type="spellEnd"/>
      <w:r w:rsidRPr="005E77E0">
        <w:rPr>
          <w:rFonts w:ascii="Times New Roman" w:hAnsi="Times New Roman" w:cs="Times New Roman"/>
          <w:spacing w:val="-6"/>
          <w:sz w:val="28"/>
          <w:szCs w:val="28"/>
          <w:lang w:val="uk-UA"/>
        </w:rPr>
        <w:t>», ТОВ «</w:t>
      </w:r>
      <w:proofErr w:type="spellStart"/>
      <w:r w:rsidRPr="005E77E0">
        <w:rPr>
          <w:rFonts w:ascii="Times New Roman" w:hAnsi="Times New Roman" w:cs="Times New Roman"/>
          <w:spacing w:val="-6"/>
          <w:sz w:val="28"/>
          <w:szCs w:val="28"/>
          <w:lang w:val="uk-UA"/>
        </w:rPr>
        <w:t>Олбрізсервіс</w:t>
      </w:r>
      <w:proofErr w:type="spellEnd"/>
      <w:r w:rsidRPr="005E77E0">
        <w:rPr>
          <w:rFonts w:ascii="Times New Roman" w:hAnsi="Times New Roman" w:cs="Times New Roman"/>
          <w:spacing w:val="-6"/>
          <w:sz w:val="28"/>
          <w:szCs w:val="28"/>
          <w:lang w:val="uk-UA"/>
        </w:rPr>
        <w:t xml:space="preserve">», </w:t>
      </w:r>
      <w:r w:rsidRPr="005E77E0">
        <w:rPr>
          <w:rFonts w:ascii="Times New Roman" w:hAnsi="Times New Roman" w:cs="Times New Roman"/>
          <w:sz w:val="28"/>
          <w:szCs w:val="28"/>
          <w:lang w:val="uk-UA"/>
        </w:rPr>
        <w:t>ТОВ «</w:t>
      </w:r>
      <w:proofErr w:type="spellStart"/>
      <w:r w:rsidRPr="005E77E0">
        <w:rPr>
          <w:rFonts w:ascii="Times New Roman" w:hAnsi="Times New Roman" w:cs="Times New Roman"/>
          <w:sz w:val="28"/>
          <w:szCs w:val="28"/>
          <w:lang w:val="uk-UA"/>
        </w:rPr>
        <w:t>Радіонікс</w:t>
      </w:r>
      <w:proofErr w:type="spellEnd"/>
      <w:r w:rsidRPr="005E77E0">
        <w:rPr>
          <w:rFonts w:ascii="Times New Roman" w:hAnsi="Times New Roman" w:cs="Times New Roman"/>
          <w:sz w:val="28"/>
          <w:szCs w:val="28"/>
          <w:lang w:val="uk-UA"/>
        </w:rPr>
        <w:t xml:space="preserve">»,  </w:t>
      </w:r>
      <w:r w:rsidRPr="005E77E0">
        <w:rPr>
          <w:rFonts w:ascii="Times New Roman" w:hAnsi="Times New Roman" w:cs="Times New Roman"/>
          <w:spacing w:val="-6"/>
          <w:sz w:val="28"/>
          <w:szCs w:val="28"/>
          <w:lang w:val="uk-UA"/>
        </w:rPr>
        <w:t>ТОВ «Українські джерела».</w:t>
      </w:r>
    </w:p>
    <w:p w:rsidR="005E77E0" w:rsidRPr="005E77E0" w:rsidRDefault="005E77E0" w:rsidP="005E77E0">
      <w:pPr>
        <w:widowControl w:val="0"/>
        <w:shd w:val="clear" w:color="auto" w:fill="FFFFFF"/>
        <w:suppressAutoHyphens/>
        <w:spacing w:after="0" w:line="240" w:lineRule="auto"/>
        <w:ind w:firstLine="709"/>
        <w:jc w:val="both"/>
        <w:rPr>
          <w:rFonts w:ascii="Times New Roman" w:hAnsi="Times New Roman" w:cs="Times New Roman"/>
          <w:spacing w:val="-6"/>
          <w:kern w:val="2"/>
          <w:sz w:val="28"/>
          <w:szCs w:val="28"/>
          <w:lang w:val="uk-UA" w:eastAsia="ar-SA"/>
        </w:rPr>
      </w:pPr>
      <w:r w:rsidRPr="005E77E0">
        <w:rPr>
          <w:rFonts w:ascii="Times New Roman" w:eastAsia="Arial Unicode MS" w:hAnsi="Times New Roman" w:cs="Times New Roman"/>
          <w:spacing w:val="-6"/>
          <w:kern w:val="2"/>
          <w:sz w:val="28"/>
          <w:szCs w:val="28"/>
          <w:lang w:val="uk-UA" w:eastAsia="ar-SA"/>
        </w:rPr>
        <w:t xml:space="preserve">У </w:t>
      </w:r>
      <w:r w:rsidRPr="005E77E0">
        <w:rPr>
          <w:rFonts w:ascii="Times New Roman" w:hAnsi="Times New Roman" w:cs="Times New Roman"/>
          <w:spacing w:val="-6"/>
          <w:kern w:val="2"/>
          <w:sz w:val="28"/>
          <w:szCs w:val="28"/>
          <w:lang w:val="uk-UA" w:eastAsia="ar-SA"/>
        </w:rPr>
        <w:t>процедурах закупівлі продукції, робіт і послуг за кошти міського бюджету беруть участь підприємства Дарницького району - ТДВ «</w:t>
      </w:r>
      <w:proofErr w:type="spellStart"/>
      <w:r w:rsidRPr="005E77E0">
        <w:rPr>
          <w:rFonts w:ascii="Times New Roman" w:hAnsi="Times New Roman" w:cs="Times New Roman"/>
          <w:spacing w:val="-6"/>
          <w:kern w:val="2"/>
          <w:sz w:val="28"/>
          <w:szCs w:val="28"/>
          <w:lang w:val="uk-UA" w:eastAsia="ar-SA"/>
        </w:rPr>
        <w:t>Укрліфтсервіс</w:t>
      </w:r>
      <w:proofErr w:type="spellEnd"/>
      <w:r w:rsidRPr="005E77E0">
        <w:rPr>
          <w:rFonts w:ascii="Times New Roman" w:hAnsi="Times New Roman" w:cs="Times New Roman"/>
          <w:spacing w:val="-6"/>
          <w:kern w:val="2"/>
          <w:sz w:val="28"/>
          <w:szCs w:val="28"/>
          <w:lang w:val="uk-UA" w:eastAsia="ar-SA"/>
        </w:rPr>
        <w:t xml:space="preserve">» та       </w:t>
      </w:r>
      <w:proofErr w:type="spellStart"/>
      <w:r w:rsidRPr="005E77E0">
        <w:rPr>
          <w:rFonts w:ascii="Times New Roman" w:hAnsi="Times New Roman" w:cs="Times New Roman"/>
          <w:spacing w:val="-6"/>
          <w:kern w:val="2"/>
          <w:sz w:val="28"/>
          <w:szCs w:val="28"/>
          <w:lang w:val="uk-UA" w:eastAsia="ar-SA"/>
        </w:rPr>
        <w:t>ПрАТ</w:t>
      </w:r>
      <w:proofErr w:type="spellEnd"/>
      <w:r w:rsidRPr="005E77E0">
        <w:rPr>
          <w:rFonts w:ascii="Times New Roman" w:hAnsi="Times New Roman" w:cs="Times New Roman"/>
          <w:spacing w:val="-6"/>
          <w:kern w:val="2"/>
          <w:sz w:val="28"/>
          <w:szCs w:val="28"/>
          <w:lang w:val="uk-UA" w:eastAsia="ar-SA"/>
        </w:rPr>
        <w:t xml:space="preserve"> «По виробництву інсулінів «</w:t>
      </w:r>
      <w:proofErr w:type="spellStart"/>
      <w:r w:rsidRPr="005E77E0">
        <w:rPr>
          <w:rFonts w:ascii="Times New Roman" w:hAnsi="Times New Roman" w:cs="Times New Roman"/>
          <w:spacing w:val="-6"/>
          <w:kern w:val="2"/>
          <w:sz w:val="28"/>
          <w:szCs w:val="28"/>
          <w:lang w:val="uk-UA" w:eastAsia="ar-SA"/>
        </w:rPr>
        <w:t>Індар</w:t>
      </w:r>
      <w:proofErr w:type="spellEnd"/>
      <w:r w:rsidRPr="005E77E0">
        <w:rPr>
          <w:rFonts w:ascii="Times New Roman" w:hAnsi="Times New Roman" w:cs="Times New Roman"/>
          <w:spacing w:val="-6"/>
          <w:kern w:val="2"/>
          <w:sz w:val="28"/>
          <w:szCs w:val="28"/>
          <w:lang w:val="uk-UA" w:eastAsia="ar-SA"/>
        </w:rPr>
        <w:t>».</w:t>
      </w:r>
    </w:p>
    <w:p w:rsidR="005E77E0" w:rsidRPr="005E77E0" w:rsidRDefault="005E77E0" w:rsidP="005E77E0">
      <w:pPr>
        <w:spacing w:after="0" w:line="240" w:lineRule="auto"/>
        <w:jc w:val="both"/>
        <w:rPr>
          <w:rFonts w:ascii="Times New Roman" w:hAnsi="Times New Roman" w:cs="Times New Roman"/>
          <w:sz w:val="28"/>
          <w:szCs w:val="28"/>
          <w:lang w:val="uk-UA"/>
        </w:rPr>
      </w:pPr>
    </w:p>
    <w:p w:rsidR="005E77E0" w:rsidRPr="005E77E0" w:rsidRDefault="005E77E0" w:rsidP="005E77E0">
      <w:pPr>
        <w:pStyle w:val="2"/>
        <w:tabs>
          <w:tab w:val="left" w:pos="426"/>
          <w:tab w:val="left" w:pos="993"/>
          <w:tab w:val="left" w:pos="4305"/>
        </w:tabs>
        <w:ind w:left="0" w:firstLine="567"/>
        <w:jc w:val="both"/>
        <w:rPr>
          <w:b/>
          <w:sz w:val="28"/>
          <w:szCs w:val="28"/>
          <w:lang w:val="uk-UA"/>
        </w:rPr>
      </w:pPr>
      <w:r>
        <w:rPr>
          <w:b/>
          <w:sz w:val="28"/>
          <w:szCs w:val="28"/>
          <w:lang w:val="uk-UA"/>
        </w:rPr>
        <w:t xml:space="preserve">                   </w:t>
      </w:r>
      <w:r w:rsidR="00712DE9">
        <w:rPr>
          <w:b/>
          <w:sz w:val="28"/>
          <w:szCs w:val="28"/>
          <w:lang w:val="uk-UA"/>
        </w:rPr>
        <w:t xml:space="preserve">     </w:t>
      </w:r>
      <w:r>
        <w:rPr>
          <w:b/>
          <w:sz w:val="28"/>
          <w:szCs w:val="28"/>
          <w:lang w:val="uk-UA"/>
        </w:rPr>
        <w:t xml:space="preserve">   </w:t>
      </w:r>
      <w:r w:rsidR="00F16905">
        <w:rPr>
          <w:b/>
          <w:sz w:val="28"/>
          <w:szCs w:val="28"/>
          <w:lang w:val="uk-UA"/>
        </w:rPr>
        <w:t>3</w:t>
      </w:r>
      <w:r w:rsidRPr="005E77E0">
        <w:rPr>
          <w:b/>
          <w:sz w:val="28"/>
          <w:szCs w:val="28"/>
          <w:lang w:val="uk-UA"/>
        </w:rPr>
        <w:t>. Аналіз інвестиційної діяльності</w:t>
      </w:r>
    </w:p>
    <w:p w:rsidR="005E77E0" w:rsidRPr="005E77E0" w:rsidRDefault="005E77E0" w:rsidP="005E77E0">
      <w:pPr>
        <w:pStyle w:val="2"/>
        <w:tabs>
          <w:tab w:val="left" w:pos="426"/>
          <w:tab w:val="left" w:pos="993"/>
          <w:tab w:val="left" w:pos="4305"/>
        </w:tabs>
        <w:ind w:left="0" w:firstLine="567"/>
        <w:jc w:val="both"/>
        <w:rPr>
          <w:b/>
          <w:sz w:val="28"/>
          <w:szCs w:val="28"/>
          <w:lang w:val="uk-UA"/>
        </w:rPr>
      </w:pPr>
    </w:p>
    <w:p w:rsidR="005E77E0" w:rsidRPr="005E77E0" w:rsidRDefault="005E77E0" w:rsidP="005E77E0">
      <w:pPr>
        <w:widowControl w:val="0"/>
        <w:tabs>
          <w:tab w:val="left" w:pos="0"/>
          <w:tab w:val="left" w:pos="1134"/>
        </w:tabs>
        <w:suppressAutoHyphens/>
        <w:spacing w:after="0" w:line="240" w:lineRule="auto"/>
        <w:ind w:firstLine="567"/>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 xml:space="preserve">За останніми статистичними даними обсяг капітальних інвестицій (крім інвестицій з державного бюджету) у січні-березні 2017 року складає 727,1 тис. грн., що становить 3,8% від обсягу капітальних інвестицій в цілому по місту Києву.  У розрахунку на одну особу цей показник становить  2219,0 грн. </w:t>
      </w:r>
    </w:p>
    <w:p w:rsidR="005E77E0" w:rsidRPr="005E77E0" w:rsidRDefault="005E77E0" w:rsidP="005E77E0">
      <w:pPr>
        <w:widowControl w:val="0"/>
        <w:tabs>
          <w:tab w:val="left" w:pos="0"/>
          <w:tab w:val="left" w:pos="1134"/>
        </w:tabs>
        <w:suppressAutoHyphens/>
        <w:spacing w:after="0" w:line="240" w:lineRule="auto"/>
        <w:ind w:firstLine="567"/>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За останніми статистичними даними на 01</w:t>
      </w:r>
      <w:r w:rsidRPr="005E77E0">
        <w:rPr>
          <w:rFonts w:ascii="Times New Roman" w:hAnsi="Times New Roman" w:cs="Times New Roman"/>
          <w:sz w:val="28"/>
          <w:szCs w:val="28"/>
        </w:rPr>
        <w:t>.</w:t>
      </w:r>
      <w:r w:rsidRPr="005E77E0">
        <w:rPr>
          <w:rFonts w:ascii="Times New Roman" w:hAnsi="Times New Roman" w:cs="Times New Roman"/>
          <w:sz w:val="28"/>
          <w:szCs w:val="28"/>
          <w:lang w:val="uk-UA"/>
        </w:rPr>
        <w:t>04</w:t>
      </w:r>
      <w:r w:rsidRPr="005E77E0">
        <w:rPr>
          <w:rFonts w:ascii="Times New Roman" w:hAnsi="Times New Roman" w:cs="Times New Roman"/>
          <w:sz w:val="28"/>
          <w:szCs w:val="28"/>
        </w:rPr>
        <w:t>.201</w:t>
      </w:r>
      <w:r w:rsidRPr="005E77E0">
        <w:rPr>
          <w:rFonts w:ascii="Times New Roman" w:hAnsi="Times New Roman" w:cs="Times New Roman"/>
          <w:sz w:val="28"/>
          <w:szCs w:val="28"/>
          <w:lang w:val="uk-UA"/>
        </w:rPr>
        <w:t>7 року обсяг прямих іноземних інвестицій (усього з наростаючим підсумком з</w:t>
      </w:r>
      <w:r w:rsidR="00813518">
        <w:rPr>
          <w:rFonts w:ascii="Times New Roman" w:hAnsi="Times New Roman" w:cs="Times New Roman"/>
          <w:sz w:val="28"/>
          <w:szCs w:val="28"/>
          <w:lang w:val="uk-UA"/>
        </w:rPr>
        <w:t xml:space="preserve"> початку інвестування) складає </w:t>
      </w:r>
      <w:r w:rsidRPr="005E77E0">
        <w:rPr>
          <w:rFonts w:ascii="Times New Roman" w:hAnsi="Times New Roman" w:cs="Times New Roman"/>
          <w:sz w:val="28"/>
          <w:szCs w:val="28"/>
          <w:lang w:val="uk-UA"/>
        </w:rPr>
        <w:t xml:space="preserve">563,4 </w:t>
      </w:r>
      <w:proofErr w:type="spellStart"/>
      <w:r w:rsidRPr="005E77E0">
        <w:rPr>
          <w:rFonts w:ascii="Times New Roman" w:hAnsi="Times New Roman" w:cs="Times New Roman"/>
          <w:sz w:val="28"/>
          <w:szCs w:val="28"/>
          <w:lang w:val="uk-UA"/>
        </w:rPr>
        <w:t>млн</w:t>
      </w:r>
      <w:proofErr w:type="spellEnd"/>
      <w:r w:rsidRPr="005E77E0">
        <w:rPr>
          <w:rFonts w:ascii="Times New Roman" w:hAnsi="Times New Roman" w:cs="Times New Roman"/>
          <w:sz w:val="28"/>
          <w:szCs w:val="28"/>
          <w:lang w:val="uk-UA"/>
        </w:rPr>
        <w:t xml:space="preserve"> дол. США, що становить 100,9% до початку року та становить 2,5% від обсягу прямих іно</w:t>
      </w:r>
      <w:r w:rsidR="00813518">
        <w:rPr>
          <w:rFonts w:ascii="Times New Roman" w:hAnsi="Times New Roman" w:cs="Times New Roman"/>
          <w:sz w:val="28"/>
          <w:szCs w:val="28"/>
          <w:lang w:val="uk-UA"/>
        </w:rPr>
        <w:t>земних інвестицій в цілому по місту</w:t>
      </w:r>
      <w:r w:rsidRPr="005E77E0">
        <w:rPr>
          <w:rFonts w:ascii="Times New Roman" w:hAnsi="Times New Roman" w:cs="Times New Roman"/>
          <w:sz w:val="28"/>
          <w:szCs w:val="28"/>
          <w:lang w:val="uk-UA"/>
        </w:rPr>
        <w:t xml:space="preserve"> Києву.</w:t>
      </w:r>
    </w:p>
    <w:p w:rsidR="005E77E0" w:rsidRPr="005E77E0" w:rsidRDefault="005E77E0" w:rsidP="005E77E0">
      <w:pPr>
        <w:tabs>
          <w:tab w:val="left" w:pos="1134"/>
        </w:tabs>
        <w:spacing w:after="0" w:line="240" w:lineRule="auto"/>
        <w:ind w:firstLine="567"/>
        <w:jc w:val="both"/>
        <w:rPr>
          <w:rFonts w:ascii="Times New Roman" w:hAnsi="Times New Roman" w:cs="Times New Roman"/>
          <w:sz w:val="28"/>
          <w:szCs w:val="28"/>
          <w:lang w:val="uk-UA"/>
        </w:rPr>
      </w:pPr>
      <w:r w:rsidRPr="005E77E0">
        <w:rPr>
          <w:rStyle w:val="apple-style-span"/>
          <w:rFonts w:ascii="Times New Roman" w:hAnsi="Times New Roman" w:cs="Times New Roman"/>
          <w:sz w:val="28"/>
          <w:szCs w:val="28"/>
          <w:lang w:val="uk-UA"/>
        </w:rPr>
        <w:t>Основною перешкодою для надходження іноземних інвестицій є суспільно-економічна нестабільність в країні, що збільшує ризики в діяльності інвесторів; нестабільність національної валюти; зростаючий рівень інфляції та негативна курсова різниця при перерахунку іноземної валюти в процесі внесення/виведення іноземного капіталу.</w:t>
      </w:r>
    </w:p>
    <w:p w:rsidR="005E77E0" w:rsidRDefault="005E77E0" w:rsidP="005E77E0">
      <w:pPr>
        <w:spacing w:after="0" w:line="240" w:lineRule="auto"/>
        <w:ind w:firstLine="567"/>
        <w:jc w:val="both"/>
        <w:rPr>
          <w:rFonts w:ascii="Times New Roman" w:hAnsi="Times New Roman" w:cs="Times New Roman"/>
          <w:b/>
          <w:color w:val="FF0000"/>
          <w:kern w:val="24"/>
          <w:sz w:val="28"/>
          <w:szCs w:val="28"/>
          <w:lang w:val="uk-UA"/>
        </w:rPr>
      </w:pPr>
    </w:p>
    <w:p w:rsidR="00156C1E" w:rsidRPr="005E77E0" w:rsidRDefault="00156C1E" w:rsidP="005E77E0">
      <w:pPr>
        <w:spacing w:after="0" w:line="240" w:lineRule="auto"/>
        <w:ind w:firstLine="567"/>
        <w:jc w:val="both"/>
        <w:rPr>
          <w:rFonts w:ascii="Times New Roman" w:hAnsi="Times New Roman" w:cs="Times New Roman"/>
          <w:b/>
          <w:color w:val="FF0000"/>
          <w:kern w:val="24"/>
          <w:sz w:val="28"/>
          <w:szCs w:val="28"/>
          <w:lang w:val="uk-UA"/>
        </w:rPr>
      </w:pPr>
    </w:p>
    <w:p w:rsidR="005E77E0" w:rsidRPr="005E77E0" w:rsidRDefault="005E77E0" w:rsidP="005E77E0">
      <w:pPr>
        <w:spacing w:after="0" w:line="240" w:lineRule="auto"/>
        <w:ind w:firstLine="567"/>
        <w:jc w:val="both"/>
        <w:rPr>
          <w:rFonts w:ascii="Times New Roman" w:hAnsi="Times New Roman" w:cs="Times New Roman"/>
          <w:b/>
          <w:kern w:val="24"/>
          <w:sz w:val="28"/>
          <w:szCs w:val="28"/>
          <w:lang w:val="uk-UA"/>
        </w:rPr>
      </w:pPr>
      <w:r>
        <w:rPr>
          <w:rFonts w:ascii="Times New Roman" w:hAnsi="Times New Roman" w:cs="Times New Roman"/>
          <w:b/>
          <w:kern w:val="24"/>
          <w:sz w:val="28"/>
          <w:szCs w:val="28"/>
          <w:lang w:val="uk-UA"/>
        </w:rPr>
        <w:t xml:space="preserve">                    </w:t>
      </w:r>
      <w:r w:rsidR="00F16905">
        <w:rPr>
          <w:rFonts w:ascii="Times New Roman" w:hAnsi="Times New Roman" w:cs="Times New Roman"/>
          <w:b/>
          <w:kern w:val="24"/>
          <w:sz w:val="28"/>
          <w:szCs w:val="28"/>
          <w:lang w:val="uk-UA"/>
        </w:rPr>
        <w:t>4</w:t>
      </w:r>
      <w:r w:rsidRPr="005E77E0">
        <w:rPr>
          <w:rFonts w:ascii="Times New Roman" w:hAnsi="Times New Roman" w:cs="Times New Roman"/>
          <w:b/>
          <w:kern w:val="24"/>
          <w:sz w:val="28"/>
          <w:szCs w:val="28"/>
          <w:lang w:val="uk-UA"/>
        </w:rPr>
        <w:t>. Стан розвитку будівельної діяльності</w:t>
      </w:r>
    </w:p>
    <w:p w:rsidR="005E77E0" w:rsidRPr="005E77E0" w:rsidRDefault="005E77E0" w:rsidP="005E77E0">
      <w:pPr>
        <w:spacing w:after="0" w:line="240" w:lineRule="auto"/>
        <w:ind w:firstLine="567"/>
        <w:jc w:val="both"/>
        <w:rPr>
          <w:rFonts w:ascii="Times New Roman" w:hAnsi="Times New Roman" w:cs="Times New Roman"/>
          <w:b/>
          <w:kern w:val="24"/>
          <w:sz w:val="28"/>
          <w:szCs w:val="28"/>
          <w:lang w:val="uk-UA"/>
        </w:rPr>
      </w:pPr>
    </w:p>
    <w:p w:rsidR="005E77E0" w:rsidRPr="005E77E0" w:rsidRDefault="005E77E0" w:rsidP="005E77E0">
      <w:pPr>
        <w:tabs>
          <w:tab w:val="left" w:pos="0"/>
        </w:tabs>
        <w:spacing w:after="0" w:line="240" w:lineRule="auto"/>
        <w:ind w:firstLine="567"/>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За останніми даними офіційної статистики в Дарницькому районі виконано</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будівельних</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 робіт </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у січні</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червні 2017 року </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на </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суму </w:t>
      </w:r>
      <w:r w:rsidR="00060A08">
        <w:rPr>
          <w:rFonts w:ascii="Times New Roman" w:hAnsi="Times New Roman" w:cs="Times New Roman"/>
          <w:sz w:val="28"/>
          <w:szCs w:val="28"/>
          <w:lang w:val="uk-UA"/>
        </w:rPr>
        <w:t xml:space="preserve">    </w:t>
      </w:r>
      <w:r w:rsidRPr="005E77E0">
        <w:rPr>
          <w:rFonts w:ascii="Times New Roman" w:hAnsi="Times New Roman" w:cs="Times New Roman"/>
          <w:noProof/>
          <w:sz w:val="28"/>
          <w:szCs w:val="28"/>
          <w:lang w:val="uk-UA" w:eastAsia="en-US"/>
        </w:rPr>
        <w:t>1</w:t>
      </w:r>
      <w:r w:rsidR="00060A08">
        <w:rPr>
          <w:rFonts w:ascii="Times New Roman" w:hAnsi="Times New Roman" w:cs="Times New Roman"/>
          <w:noProof/>
          <w:sz w:val="28"/>
          <w:szCs w:val="28"/>
          <w:lang w:val="uk-UA" w:eastAsia="en-US"/>
        </w:rPr>
        <w:t xml:space="preserve"> </w:t>
      </w:r>
      <w:r w:rsidRPr="005E77E0">
        <w:rPr>
          <w:rFonts w:ascii="Times New Roman" w:hAnsi="Times New Roman" w:cs="Times New Roman"/>
          <w:noProof/>
          <w:sz w:val="28"/>
          <w:szCs w:val="28"/>
          <w:lang w:val="uk-UA" w:eastAsia="en-US"/>
        </w:rPr>
        <w:t>275</w:t>
      </w:r>
      <w:r w:rsidR="00060A08">
        <w:rPr>
          <w:rFonts w:ascii="Times New Roman" w:hAnsi="Times New Roman" w:cs="Times New Roman"/>
          <w:noProof/>
          <w:sz w:val="28"/>
          <w:szCs w:val="28"/>
          <w:lang w:val="uk-UA" w:eastAsia="en-US"/>
        </w:rPr>
        <w:t xml:space="preserve"> </w:t>
      </w:r>
      <w:r w:rsidRPr="005E77E0">
        <w:rPr>
          <w:rFonts w:ascii="Times New Roman" w:hAnsi="Times New Roman" w:cs="Times New Roman"/>
          <w:noProof/>
          <w:sz w:val="28"/>
          <w:szCs w:val="28"/>
          <w:lang w:val="uk-UA" w:eastAsia="en-US"/>
        </w:rPr>
        <w:t>846,0</w:t>
      </w:r>
      <w:r w:rsidR="00060A08">
        <w:rPr>
          <w:rFonts w:ascii="Times New Roman" w:hAnsi="Times New Roman" w:cs="Times New Roman"/>
          <w:sz w:val="28"/>
          <w:szCs w:val="28"/>
          <w:lang w:val="uk-UA"/>
        </w:rPr>
        <w:t xml:space="preserve"> тис. </w:t>
      </w:r>
      <w:r w:rsidRPr="005E77E0">
        <w:rPr>
          <w:rFonts w:ascii="Times New Roman" w:hAnsi="Times New Roman" w:cs="Times New Roman"/>
          <w:sz w:val="28"/>
          <w:szCs w:val="28"/>
          <w:lang w:val="uk-UA"/>
        </w:rPr>
        <w:t>грн.  (13,5 %</w:t>
      </w:r>
      <w:r w:rsidR="00156C1E">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 від загального обсягу по місту Києву).</w:t>
      </w:r>
    </w:p>
    <w:p w:rsidR="005E77E0" w:rsidRPr="005E77E0" w:rsidRDefault="005E77E0" w:rsidP="005E77E0">
      <w:pPr>
        <w:pStyle w:val="ab"/>
        <w:tabs>
          <w:tab w:val="left" w:pos="540"/>
          <w:tab w:val="left" w:pos="720"/>
        </w:tabs>
        <w:ind w:left="0" w:firstLine="567"/>
        <w:rPr>
          <w:kern w:val="0"/>
          <w:szCs w:val="28"/>
        </w:rPr>
      </w:pPr>
      <w:r w:rsidRPr="005E77E0">
        <w:rPr>
          <w:szCs w:val="28"/>
        </w:rPr>
        <w:t>За останніми статистичними даними за січень-</w:t>
      </w:r>
      <w:r w:rsidR="008D35D4">
        <w:rPr>
          <w:szCs w:val="28"/>
        </w:rPr>
        <w:t>червень</w:t>
      </w:r>
      <w:r w:rsidRPr="005E77E0">
        <w:rPr>
          <w:szCs w:val="28"/>
        </w:rPr>
        <w:t xml:space="preserve"> 2017 року </w:t>
      </w:r>
      <w:r w:rsidRPr="005E77E0">
        <w:rPr>
          <w:kern w:val="0"/>
          <w:szCs w:val="28"/>
        </w:rPr>
        <w:t xml:space="preserve">обсяг прийнятого в експлуатацію житла в Дарницькому районі становить </w:t>
      </w:r>
      <w:r w:rsidR="008D35D4">
        <w:rPr>
          <w:kern w:val="0"/>
          <w:szCs w:val="28"/>
        </w:rPr>
        <w:t>149</w:t>
      </w:r>
      <w:r w:rsidR="00060A08">
        <w:rPr>
          <w:kern w:val="0"/>
          <w:szCs w:val="28"/>
        </w:rPr>
        <w:t xml:space="preserve"> </w:t>
      </w:r>
      <w:r w:rsidR="008D35D4">
        <w:rPr>
          <w:kern w:val="0"/>
          <w:szCs w:val="28"/>
        </w:rPr>
        <w:t>960</w:t>
      </w:r>
      <w:r w:rsidRPr="005E77E0">
        <w:rPr>
          <w:kern w:val="0"/>
          <w:szCs w:val="28"/>
        </w:rPr>
        <w:t xml:space="preserve"> м</w:t>
      </w:r>
      <w:r w:rsidRPr="005E77E0">
        <w:rPr>
          <w:kern w:val="0"/>
          <w:szCs w:val="28"/>
          <w:vertAlign w:val="superscript"/>
        </w:rPr>
        <w:t>2</w:t>
      </w:r>
      <w:r w:rsidR="008D35D4">
        <w:rPr>
          <w:kern w:val="0"/>
          <w:szCs w:val="28"/>
        </w:rPr>
        <w:t xml:space="preserve"> загальної площі житла (або 15,2</w:t>
      </w:r>
      <w:r w:rsidR="00060A08">
        <w:rPr>
          <w:kern w:val="0"/>
          <w:szCs w:val="28"/>
        </w:rPr>
        <w:t xml:space="preserve"> </w:t>
      </w:r>
      <w:r w:rsidR="008D35D4">
        <w:rPr>
          <w:kern w:val="0"/>
          <w:szCs w:val="28"/>
        </w:rPr>
        <w:t>%), що становить 670,6</w:t>
      </w:r>
      <w:r w:rsidR="00060A08">
        <w:rPr>
          <w:kern w:val="0"/>
          <w:szCs w:val="28"/>
        </w:rPr>
        <w:t xml:space="preserve"> </w:t>
      </w:r>
      <w:r w:rsidRPr="005E77E0">
        <w:rPr>
          <w:kern w:val="0"/>
          <w:szCs w:val="28"/>
        </w:rPr>
        <w:t>% до відповідного періоду минулого року.</w:t>
      </w:r>
    </w:p>
    <w:p w:rsidR="00156C1E" w:rsidRDefault="00156C1E" w:rsidP="005E77E0">
      <w:pPr>
        <w:pStyle w:val="2"/>
        <w:tabs>
          <w:tab w:val="left" w:pos="426"/>
          <w:tab w:val="left" w:pos="993"/>
        </w:tabs>
        <w:ind w:left="0"/>
        <w:jc w:val="both"/>
        <w:rPr>
          <w:b/>
          <w:sz w:val="28"/>
          <w:szCs w:val="28"/>
          <w:lang w:val="uk-UA"/>
        </w:rPr>
      </w:pPr>
    </w:p>
    <w:p w:rsidR="005E77E0" w:rsidRPr="005E77E0" w:rsidRDefault="005E77E0" w:rsidP="005E77E0">
      <w:pPr>
        <w:pStyle w:val="2"/>
        <w:tabs>
          <w:tab w:val="left" w:pos="426"/>
          <w:tab w:val="left" w:pos="993"/>
        </w:tabs>
        <w:ind w:left="0"/>
        <w:jc w:val="both"/>
        <w:rPr>
          <w:b/>
          <w:sz w:val="28"/>
          <w:szCs w:val="28"/>
          <w:lang w:val="uk-UA"/>
        </w:rPr>
      </w:pPr>
      <w:r>
        <w:rPr>
          <w:b/>
          <w:sz w:val="28"/>
          <w:szCs w:val="28"/>
          <w:lang w:val="uk-UA"/>
        </w:rPr>
        <w:t xml:space="preserve">                 </w:t>
      </w:r>
      <w:r w:rsidR="00F16905">
        <w:rPr>
          <w:b/>
          <w:sz w:val="28"/>
          <w:szCs w:val="28"/>
          <w:lang w:val="uk-UA"/>
        </w:rPr>
        <w:t>5</w:t>
      </w:r>
      <w:r w:rsidRPr="005E77E0">
        <w:rPr>
          <w:b/>
          <w:sz w:val="28"/>
          <w:szCs w:val="28"/>
          <w:lang w:val="uk-UA"/>
        </w:rPr>
        <w:t>. Стан розвитку зовнішньоекономічної діяльності</w:t>
      </w:r>
    </w:p>
    <w:p w:rsidR="005E77E0" w:rsidRPr="005E77E0" w:rsidRDefault="005E77E0" w:rsidP="005E77E0">
      <w:pPr>
        <w:pStyle w:val="2"/>
        <w:tabs>
          <w:tab w:val="left" w:pos="426"/>
          <w:tab w:val="left" w:pos="993"/>
        </w:tabs>
        <w:ind w:left="0" w:firstLine="567"/>
        <w:jc w:val="both"/>
        <w:rPr>
          <w:b/>
          <w:sz w:val="28"/>
          <w:szCs w:val="28"/>
          <w:lang w:val="uk-UA"/>
        </w:rPr>
      </w:pPr>
    </w:p>
    <w:p w:rsidR="005E77E0" w:rsidRPr="005E77E0" w:rsidRDefault="005E77E0" w:rsidP="005E77E0">
      <w:pPr>
        <w:pStyle w:val="2"/>
        <w:tabs>
          <w:tab w:val="left" w:pos="426"/>
          <w:tab w:val="left" w:pos="993"/>
        </w:tabs>
        <w:ind w:left="0" w:firstLine="567"/>
        <w:jc w:val="both"/>
        <w:rPr>
          <w:sz w:val="28"/>
          <w:szCs w:val="28"/>
          <w:lang w:val="uk-UA"/>
        </w:rPr>
      </w:pPr>
      <w:r w:rsidRPr="005E77E0">
        <w:rPr>
          <w:sz w:val="28"/>
          <w:szCs w:val="28"/>
          <w:lang w:val="uk-UA"/>
        </w:rPr>
        <w:t xml:space="preserve">За останніми даними офіційної статистики за січень-березень 2017 року обсяг експорту товарів у Дарницькому районі склав 24,7 </w:t>
      </w:r>
      <w:proofErr w:type="spellStart"/>
      <w:r w:rsidRPr="005E77E0">
        <w:rPr>
          <w:sz w:val="28"/>
          <w:szCs w:val="28"/>
          <w:lang w:val="uk-UA"/>
        </w:rPr>
        <w:t>млн</w:t>
      </w:r>
      <w:proofErr w:type="spellEnd"/>
      <w:r w:rsidRPr="005E77E0">
        <w:rPr>
          <w:sz w:val="28"/>
          <w:szCs w:val="28"/>
          <w:lang w:val="uk-UA"/>
        </w:rPr>
        <w:t xml:space="preserve">  дол. США, обсяг імпорту  185,3 </w:t>
      </w:r>
      <w:proofErr w:type="spellStart"/>
      <w:r w:rsidRPr="005E77E0">
        <w:rPr>
          <w:sz w:val="28"/>
          <w:szCs w:val="28"/>
          <w:lang w:val="uk-UA"/>
        </w:rPr>
        <w:t>млн</w:t>
      </w:r>
      <w:proofErr w:type="spellEnd"/>
      <w:r w:rsidRPr="005E77E0">
        <w:rPr>
          <w:sz w:val="28"/>
          <w:szCs w:val="28"/>
          <w:lang w:val="uk-UA"/>
        </w:rPr>
        <w:t xml:space="preserve"> дол. США. Порівняно з січнем-березнем 2016 року обсяг експорту зменшився  на 4,4</w:t>
      </w:r>
      <w:r w:rsidR="00060A08">
        <w:rPr>
          <w:sz w:val="28"/>
          <w:szCs w:val="28"/>
          <w:lang w:val="uk-UA"/>
        </w:rPr>
        <w:t xml:space="preserve"> </w:t>
      </w:r>
      <w:r w:rsidRPr="005E77E0">
        <w:rPr>
          <w:sz w:val="28"/>
          <w:szCs w:val="28"/>
          <w:lang w:val="uk-UA"/>
        </w:rPr>
        <w:t>%, обсяг імпорту збільшився на 22,8</w:t>
      </w:r>
      <w:r w:rsidR="00060A08">
        <w:rPr>
          <w:sz w:val="28"/>
          <w:szCs w:val="28"/>
          <w:lang w:val="uk-UA"/>
        </w:rPr>
        <w:t xml:space="preserve"> </w:t>
      </w:r>
      <w:r w:rsidRPr="005E77E0">
        <w:rPr>
          <w:sz w:val="28"/>
          <w:szCs w:val="28"/>
          <w:lang w:val="uk-UA"/>
        </w:rPr>
        <w:t xml:space="preserve">%. Негативне сальдо склало 160,6 </w:t>
      </w:r>
      <w:proofErr w:type="spellStart"/>
      <w:r w:rsidRPr="005E77E0">
        <w:rPr>
          <w:sz w:val="28"/>
          <w:szCs w:val="28"/>
          <w:lang w:val="uk-UA"/>
        </w:rPr>
        <w:t>млн</w:t>
      </w:r>
      <w:proofErr w:type="spellEnd"/>
      <w:r w:rsidRPr="005E77E0">
        <w:rPr>
          <w:sz w:val="28"/>
          <w:szCs w:val="28"/>
          <w:lang w:val="uk-UA"/>
        </w:rPr>
        <w:t xml:space="preserve">  дол. США. Коефіцієнт покриття  експортом імпорту за січень-березень 2017 року склав 0,13.</w:t>
      </w:r>
    </w:p>
    <w:p w:rsidR="005E77E0" w:rsidRPr="005E77E0" w:rsidRDefault="005E77E0" w:rsidP="005E77E0">
      <w:pPr>
        <w:pStyle w:val="2"/>
        <w:tabs>
          <w:tab w:val="left" w:pos="426"/>
          <w:tab w:val="left" w:pos="993"/>
          <w:tab w:val="left" w:pos="1560"/>
        </w:tabs>
        <w:ind w:left="0"/>
        <w:jc w:val="both"/>
        <w:rPr>
          <w:b/>
          <w:color w:val="FF0000"/>
          <w:sz w:val="28"/>
          <w:szCs w:val="28"/>
          <w:lang w:val="uk-UA"/>
        </w:rPr>
      </w:pPr>
    </w:p>
    <w:p w:rsidR="005E77E0" w:rsidRPr="005E77E0" w:rsidRDefault="005E77E0" w:rsidP="005E77E0">
      <w:pPr>
        <w:pStyle w:val="2"/>
        <w:tabs>
          <w:tab w:val="left" w:pos="426"/>
          <w:tab w:val="left" w:pos="993"/>
          <w:tab w:val="left" w:pos="1560"/>
        </w:tabs>
        <w:ind w:left="0"/>
        <w:jc w:val="both"/>
        <w:rPr>
          <w:b/>
          <w:sz w:val="28"/>
          <w:szCs w:val="28"/>
          <w:lang w:val="uk-UA"/>
        </w:rPr>
      </w:pPr>
      <w:r>
        <w:rPr>
          <w:b/>
          <w:sz w:val="28"/>
          <w:szCs w:val="28"/>
          <w:lang w:val="uk-UA"/>
        </w:rPr>
        <w:t xml:space="preserve">                              </w:t>
      </w:r>
      <w:r w:rsidR="00F16905">
        <w:rPr>
          <w:b/>
          <w:sz w:val="28"/>
          <w:szCs w:val="28"/>
          <w:lang w:val="uk-UA"/>
        </w:rPr>
        <w:t>6</w:t>
      </w:r>
      <w:r w:rsidRPr="005E77E0">
        <w:rPr>
          <w:b/>
          <w:sz w:val="28"/>
          <w:szCs w:val="28"/>
          <w:lang w:val="uk-UA"/>
        </w:rPr>
        <w:t>. Стан розвитку споживчого ринку</w:t>
      </w:r>
    </w:p>
    <w:p w:rsidR="005E77E0" w:rsidRPr="005E77E0" w:rsidRDefault="005E77E0" w:rsidP="005E77E0">
      <w:pPr>
        <w:pStyle w:val="2"/>
        <w:tabs>
          <w:tab w:val="left" w:pos="426"/>
          <w:tab w:val="left" w:pos="993"/>
          <w:tab w:val="left" w:pos="1560"/>
        </w:tabs>
        <w:ind w:left="0"/>
        <w:jc w:val="both"/>
        <w:rPr>
          <w:b/>
          <w:sz w:val="28"/>
          <w:szCs w:val="28"/>
          <w:lang w:val="uk-UA"/>
        </w:rPr>
      </w:pPr>
    </w:p>
    <w:p w:rsidR="005E77E0" w:rsidRPr="005E77E0" w:rsidRDefault="005E77E0" w:rsidP="005E77E0">
      <w:pPr>
        <w:pStyle w:val="2"/>
        <w:tabs>
          <w:tab w:val="left" w:pos="-288"/>
          <w:tab w:val="left" w:pos="0"/>
          <w:tab w:val="left" w:pos="993"/>
        </w:tabs>
        <w:ind w:left="0" w:firstLine="567"/>
        <w:jc w:val="both"/>
        <w:rPr>
          <w:spacing w:val="-2"/>
          <w:sz w:val="28"/>
          <w:szCs w:val="28"/>
          <w:lang w:val="uk-UA"/>
        </w:rPr>
      </w:pPr>
      <w:r w:rsidRPr="005E77E0">
        <w:rPr>
          <w:sz w:val="28"/>
          <w:szCs w:val="28"/>
          <w:lang w:val="uk-UA"/>
        </w:rPr>
        <w:t>За останніми даними офіційної статистики оборот роздрібної торгівлі у Дарницькому районі у 2016 році склав 24</w:t>
      </w:r>
      <w:r w:rsidR="00060A08">
        <w:rPr>
          <w:sz w:val="28"/>
          <w:szCs w:val="28"/>
          <w:lang w:val="uk-UA"/>
        </w:rPr>
        <w:t xml:space="preserve"> </w:t>
      </w:r>
      <w:r w:rsidRPr="005E77E0">
        <w:rPr>
          <w:sz w:val="28"/>
          <w:szCs w:val="28"/>
          <w:lang w:val="uk-UA"/>
        </w:rPr>
        <w:t>102,5</w:t>
      </w:r>
      <w:r w:rsidRPr="005E77E0">
        <w:rPr>
          <w:bCs/>
          <w:sz w:val="28"/>
          <w:szCs w:val="28"/>
          <w:lang w:val="uk-UA"/>
        </w:rPr>
        <w:t xml:space="preserve"> </w:t>
      </w:r>
      <w:proofErr w:type="spellStart"/>
      <w:r w:rsidRPr="005E77E0">
        <w:rPr>
          <w:sz w:val="28"/>
          <w:szCs w:val="28"/>
          <w:lang w:val="uk-UA"/>
        </w:rPr>
        <w:t>млн</w:t>
      </w:r>
      <w:proofErr w:type="spellEnd"/>
      <w:r w:rsidRPr="005E77E0">
        <w:rPr>
          <w:sz w:val="28"/>
          <w:szCs w:val="28"/>
        </w:rPr>
        <w:t> </w:t>
      </w:r>
      <w:r w:rsidRPr="005E77E0">
        <w:rPr>
          <w:sz w:val="28"/>
          <w:szCs w:val="28"/>
          <w:lang w:val="uk-UA"/>
        </w:rPr>
        <w:t>грн. Приріст обсягу обороту роздрібної торгівлі складає 1</w:t>
      </w:r>
      <w:r w:rsidR="00060A08">
        <w:rPr>
          <w:sz w:val="28"/>
          <w:szCs w:val="28"/>
          <w:lang w:val="uk-UA"/>
        </w:rPr>
        <w:t xml:space="preserve"> </w:t>
      </w:r>
      <w:r w:rsidRPr="005E77E0">
        <w:rPr>
          <w:sz w:val="28"/>
          <w:szCs w:val="28"/>
          <w:lang w:val="uk-UA"/>
        </w:rPr>
        <w:t xml:space="preserve">588,6 </w:t>
      </w:r>
      <w:proofErr w:type="spellStart"/>
      <w:r w:rsidRPr="005E77E0">
        <w:rPr>
          <w:sz w:val="28"/>
          <w:szCs w:val="28"/>
          <w:lang w:val="uk-UA"/>
        </w:rPr>
        <w:t>млн</w:t>
      </w:r>
      <w:proofErr w:type="spellEnd"/>
      <w:r w:rsidRPr="005E77E0">
        <w:rPr>
          <w:sz w:val="28"/>
          <w:szCs w:val="28"/>
          <w:lang w:val="uk-UA"/>
        </w:rPr>
        <w:t xml:space="preserve"> грн. (з урахуванням показника у порівняних цінах). </w:t>
      </w:r>
    </w:p>
    <w:p w:rsidR="005E77E0" w:rsidRPr="005E77E0" w:rsidRDefault="005E77E0" w:rsidP="005E77E0">
      <w:pPr>
        <w:widowControl w:val="0"/>
        <w:tabs>
          <w:tab w:val="left" w:pos="-288"/>
          <w:tab w:val="left" w:pos="0"/>
          <w:tab w:val="left" w:pos="993"/>
        </w:tabs>
        <w:suppressAutoHyphens/>
        <w:spacing w:after="0" w:line="240" w:lineRule="auto"/>
        <w:ind w:firstLine="567"/>
        <w:jc w:val="both"/>
        <w:rPr>
          <w:rFonts w:ascii="Times New Roman" w:hAnsi="Times New Roman" w:cs="Times New Roman"/>
          <w:bCs/>
          <w:sz w:val="28"/>
          <w:szCs w:val="28"/>
          <w:lang w:val="uk-UA"/>
        </w:rPr>
      </w:pPr>
      <w:r w:rsidRPr="005E77E0">
        <w:rPr>
          <w:rFonts w:ascii="Times New Roman" w:hAnsi="Times New Roman" w:cs="Times New Roman"/>
          <w:bCs/>
          <w:sz w:val="28"/>
          <w:szCs w:val="28"/>
          <w:lang w:val="uk-UA"/>
        </w:rPr>
        <w:t xml:space="preserve">Обсяг середньомісячного обороту роздрібної торгівлі на одну особу в Дарницькому районі </w:t>
      </w:r>
      <w:r w:rsidRPr="005E77E0">
        <w:rPr>
          <w:rFonts w:ascii="Times New Roman" w:hAnsi="Times New Roman" w:cs="Times New Roman"/>
          <w:sz w:val="28"/>
          <w:szCs w:val="28"/>
          <w:lang w:val="uk-UA"/>
        </w:rPr>
        <w:t>у 2016 році склав  6</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010,7 грн.( місто Київ – 5</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418,9 грн.).</w:t>
      </w:r>
    </w:p>
    <w:p w:rsidR="005E77E0" w:rsidRPr="0001027B" w:rsidRDefault="005E77E0" w:rsidP="0001027B">
      <w:pPr>
        <w:widowControl w:val="0"/>
        <w:tabs>
          <w:tab w:val="left" w:pos="-288"/>
          <w:tab w:val="left" w:pos="0"/>
          <w:tab w:val="left" w:pos="993"/>
        </w:tabs>
        <w:suppressAutoHyphens/>
        <w:spacing w:after="0" w:line="240" w:lineRule="auto"/>
        <w:ind w:firstLine="567"/>
        <w:jc w:val="both"/>
        <w:rPr>
          <w:rFonts w:ascii="Times New Roman" w:hAnsi="Times New Roman" w:cs="Times New Roman"/>
          <w:bCs/>
          <w:sz w:val="28"/>
          <w:szCs w:val="28"/>
          <w:lang w:val="uk-UA"/>
        </w:rPr>
      </w:pPr>
      <w:r w:rsidRPr="005E77E0">
        <w:rPr>
          <w:rFonts w:ascii="Times New Roman" w:hAnsi="Times New Roman" w:cs="Times New Roman"/>
          <w:bCs/>
          <w:sz w:val="28"/>
          <w:szCs w:val="28"/>
          <w:lang w:val="uk-UA"/>
        </w:rPr>
        <w:t>Абсолютний приріст обсягу обороту роздрібної торгівлі на одну особу в Дарницькому районі у 2016 році складає 4</w:t>
      </w:r>
      <w:r w:rsidR="00060A08">
        <w:rPr>
          <w:rFonts w:ascii="Times New Roman" w:hAnsi="Times New Roman" w:cs="Times New Roman"/>
          <w:bCs/>
          <w:sz w:val="28"/>
          <w:szCs w:val="28"/>
          <w:lang w:val="uk-UA"/>
        </w:rPr>
        <w:t xml:space="preserve"> </w:t>
      </w:r>
      <w:r w:rsidRPr="005E77E0">
        <w:rPr>
          <w:rFonts w:ascii="Times New Roman" w:hAnsi="Times New Roman" w:cs="Times New Roman"/>
          <w:bCs/>
          <w:sz w:val="28"/>
          <w:szCs w:val="28"/>
          <w:lang w:val="uk-UA"/>
        </w:rPr>
        <w:t>754,0 грн. (</w:t>
      </w:r>
      <w:r w:rsidRPr="005E77E0">
        <w:rPr>
          <w:rFonts w:ascii="Times New Roman" w:hAnsi="Times New Roman" w:cs="Times New Roman"/>
          <w:sz w:val="28"/>
          <w:szCs w:val="28"/>
          <w:lang w:val="uk-UA"/>
        </w:rPr>
        <w:t xml:space="preserve">показник у порівняних цінах), </w:t>
      </w:r>
      <w:r w:rsidRPr="005E77E0">
        <w:rPr>
          <w:rFonts w:ascii="Times New Roman" w:hAnsi="Times New Roman" w:cs="Times New Roman"/>
          <w:bCs/>
          <w:sz w:val="28"/>
          <w:szCs w:val="28"/>
          <w:lang w:val="uk-UA"/>
        </w:rPr>
        <w:t xml:space="preserve">по місту Києву  приріст складає </w:t>
      </w:r>
      <w:r w:rsidR="00060A08">
        <w:rPr>
          <w:rFonts w:ascii="Times New Roman" w:hAnsi="Times New Roman" w:cs="Times New Roman"/>
          <w:bCs/>
          <w:sz w:val="28"/>
          <w:szCs w:val="28"/>
          <w:lang w:val="uk-UA"/>
        </w:rPr>
        <w:t xml:space="preserve"> </w:t>
      </w:r>
      <w:r w:rsidRPr="005E77E0">
        <w:rPr>
          <w:rFonts w:ascii="Times New Roman" w:hAnsi="Times New Roman" w:cs="Times New Roman"/>
          <w:bCs/>
          <w:sz w:val="28"/>
          <w:szCs w:val="28"/>
          <w:lang w:val="uk-UA"/>
        </w:rPr>
        <w:t>3</w:t>
      </w:r>
      <w:r w:rsidR="00060A08">
        <w:rPr>
          <w:rFonts w:ascii="Times New Roman" w:hAnsi="Times New Roman" w:cs="Times New Roman"/>
          <w:bCs/>
          <w:sz w:val="28"/>
          <w:szCs w:val="28"/>
          <w:lang w:val="uk-UA"/>
        </w:rPr>
        <w:t xml:space="preserve"> </w:t>
      </w:r>
      <w:r w:rsidRPr="005E77E0">
        <w:rPr>
          <w:rFonts w:ascii="Times New Roman" w:hAnsi="Times New Roman" w:cs="Times New Roman"/>
          <w:bCs/>
          <w:sz w:val="28"/>
          <w:szCs w:val="28"/>
          <w:lang w:val="uk-UA"/>
        </w:rPr>
        <w:t>239,1 грн.</w:t>
      </w:r>
      <w:r w:rsidRPr="0001027B">
        <w:rPr>
          <w:rFonts w:ascii="Times New Roman" w:hAnsi="Times New Roman" w:cs="Times New Roman"/>
          <w:sz w:val="28"/>
          <w:szCs w:val="28"/>
        </w:rPr>
        <w:tab/>
      </w:r>
    </w:p>
    <w:p w:rsidR="005E77E0" w:rsidRPr="005E77E0" w:rsidRDefault="005E77E0" w:rsidP="005E77E0">
      <w:pPr>
        <w:pStyle w:val="a8"/>
        <w:spacing w:after="0" w:line="240" w:lineRule="auto"/>
        <w:ind w:left="0" w:firstLine="567"/>
        <w:jc w:val="both"/>
        <w:rPr>
          <w:rFonts w:ascii="Times New Roman" w:hAnsi="Times New Roman" w:cs="Times New Roman"/>
          <w:sz w:val="28"/>
          <w:szCs w:val="28"/>
          <w:lang w:val="uk-UA"/>
        </w:rPr>
      </w:pPr>
    </w:p>
    <w:p w:rsidR="005E77E0" w:rsidRPr="005E77E0" w:rsidRDefault="005E77E0" w:rsidP="005E77E0">
      <w:pPr>
        <w:pStyle w:val="2"/>
        <w:tabs>
          <w:tab w:val="left" w:pos="426"/>
          <w:tab w:val="left" w:pos="993"/>
          <w:tab w:val="left" w:pos="1560"/>
        </w:tabs>
        <w:ind w:left="0" w:firstLine="567"/>
        <w:jc w:val="both"/>
        <w:rPr>
          <w:b/>
          <w:sz w:val="28"/>
          <w:szCs w:val="28"/>
          <w:lang w:val="uk-UA"/>
        </w:rPr>
      </w:pPr>
      <w:r>
        <w:rPr>
          <w:b/>
          <w:sz w:val="28"/>
          <w:szCs w:val="28"/>
          <w:lang w:val="uk-UA"/>
        </w:rPr>
        <w:t xml:space="preserve">          </w:t>
      </w:r>
      <w:r w:rsidR="00F16905">
        <w:rPr>
          <w:b/>
          <w:sz w:val="28"/>
          <w:szCs w:val="28"/>
          <w:lang w:val="uk-UA"/>
        </w:rPr>
        <w:t>7</w:t>
      </w:r>
      <w:r w:rsidRPr="005E77E0">
        <w:rPr>
          <w:b/>
          <w:sz w:val="28"/>
          <w:szCs w:val="28"/>
          <w:lang w:val="uk-UA"/>
        </w:rPr>
        <w:t>. Аналіз ситуації у житлово-комунальному господарстві</w:t>
      </w:r>
    </w:p>
    <w:p w:rsidR="005E77E0" w:rsidRPr="005E77E0" w:rsidRDefault="005E77E0" w:rsidP="005E77E0">
      <w:pPr>
        <w:pStyle w:val="2"/>
        <w:tabs>
          <w:tab w:val="left" w:pos="426"/>
          <w:tab w:val="left" w:pos="993"/>
          <w:tab w:val="left" w:pos="1560"/>
        </w:tabs>
        <w:ind w:left="0" w:firstLine="567"/>
        <w:jc w:val="both"/>
        <w:rPr>
          <w:b/>
          <w:sz w:val="28"/>
          <w:szCs w:val="28"/>
          <w:lang w:val="uk-UA"/>
        </w:rPr>
      </w:pPr>
    </w:p>
    <w:p w:rsidR="005E77E0" w:rsidRPr="005E77E0" w:rsidRDefault="005E77E0" w:rsidP="005E77E0">
      <w:pPr>
        <w:spacing w:after="0" w:line="240" w:lineRule="auto"/>
        <w:ind w:firstLine="567"/>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За останніми статистичними даними кількість домогосподарств, які звернулися за субсидіями у травні 2017 року та яким призначено субсидії в Дарницькому районі становить 2</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193 одиниць. За даними Управління праці та соціального захисту населення кількість домогосподарств, які звернулися за субсидіями у січні-червні 2017 року в Дарницькому районі становить 46117 одиниць. Загальна сума призначених субсидій за січень-червні 2017 року становить   153</w:t>
      </w:r>
      <w:r w:rsidR="00060A08">
        <w:rPr>
          <w:rFonts w:ascii="Times New Roman" w:hAnsi="Times New Roman" w:cs="Times New Roman"/>
          <w:sz w:val="28"/>
          <w:szCs w:val="28"/>
          <w:lang w:val="uk-UA"/>
        </w:rPr>
        <w:t xml:space="preserve"> </w:t>
      </w:r>
      <w:r w:rsidRPr="005E77E0">
        <w:rPr>
          <w:rFonts w:ascii="Times New Roman" w:hAnsi="Times New Roman" w:cs="Times New Roman"/>
          <w:sz w:val="28"/>
          <w:szCs w:val="28"/>
          <w:lang w:val="uk-UA"/>
        </w:rPr>
        <w:t xml:space="preserve">945,2 тис. грн. </w:t>
      </w:r>
    </w:p>
    <w:p w:rsidR="005E77E0" w:rsidRDefault="005E77E0" w:rsidP="005E77E0">
      <w:pPr>
        <w:pStyle w:val="2"/>
        <w:tabs>
          <w:tab w:val="left" w:pos="426"/>
          <w:tab w:val="left" w:pos="993"/>
        </w:tabs>
        <w:ind w:left="0" w:firstLine="567"/>
        <w:jc w:val="both"/>
        <w:rPr>
          <w:b/>
          <w:color w:val="FF0000"/>
          <w:sz w:val="28"/>
          <w:szCs w:val="28"/>
          <w:lang w:val="uk-UA"/>
        </w:rPr>
      </w:pPr>
    </w:p>
    <w:p w:rsidR="00634671" w:rsidRPr="005E77E0" w:rsidRDefault="00634671" w:rsidP="005E77E0">
      <w:pPr>
        <w:pStyle w:val="2"/>
        <w:tabs>
          <w:tab w:val="left" w:pos="426"/>
          <w:tab w:val="left" w:pos="993"/>
        </w:tabs>
        <w:ind w:left="0" w:firstLine="567"/>
        <w:jc w:val="both"/>
        <w:rPr>
          <w:b/>
          <w:color w:val="FF0000"/>
          <w:sz w:val="28"/>
          <w:szCs w:val="28"/>
          <w:lang w:val="uk-UA"/>
        </w:rPr>
      </w:pPr>
    </w:p>
    <w:p w:rsidR="005E77E0" w:rsidRPr="005E77E0" w:rsidRDefault="005E77E0" w:rsidP="005E77E0">
      <w:pPr>
        <w:pStyle w:val="2"/>
        <w:tabs>
          <w:tab w:val="left" w:pos="426"/>
          <w:tab w:val="left" w:pos="993"/>
        </w:tabs>
        <w:ind w:left="0" w:firstLine="567"/>
        <w:jc w:val="both"/>
        <w:rPr>
          <w:b/>
          <w:sz w:val="28"/>
          <w:szCs w:val="28"/>
          <w:lang w:val="uk-UA"/>
        </w:rPr>
      </w:pPr>
      <w:r>
        <w:rPr>
          <w:b/>
          <w:sz w:val="28"/>
          <w:szCs w:val="28"/>
          <w:lang w:val="uk-UA"/>
        </w:rPr>
        <w:lastRenderedPageBreak/>
        <w:t xml:space="preserve"> </w:t>
      </w:r>
      <w:r w:rsidR="00634671">
        <w:rPr>
          <w:b/>
          <w:sz w:val="28"/>
          <w:szCs w:val="28"/>
          <w:lang w:val="uk-UA"/>
        </w:rPr>
        <w:t xml:space="preserve">                          </w:t>
      </w:r>
      <w:r>
        <w:rPr>
          <w:b/>
          <w:sz w:val="28"/>
          <w:szCs w:val="28"/>
          <w:lang w:val="uk-UA"/>
        </w:rPr>
        <w:t xml:space="preserve">     </w:t>
      </w:r>
      <w:r w:rsidR="00F16905">
        <w:rPr>
          <w:b/>
          <w:sz w:val="28"/>
          <w:szCs w:val="28"/>
          <w:lang w:val="uk-UA"/>
        </w:rPr>
        <w:t>8</w:t>
      </w:r>
      <w:r w:rsidRPr="005E77E0">
        <w:rPr>
          <w:b/>
          <w:sz w:val="28"/>
          <w:szCs w:val="28"/>
          <w:lang w:val="uk-UA"/>
        </w:rPr>
        <w:t>. Аналіз фінансового сектора</w:t>
      </w:r>
    </w:p>
    <w:p w:rsidR="005E77E0" w:rsidRPr="005E77E0" w:rsidRDefault="005E77E0" w:rsidP="005E77E0">
      <w:pPr>
        <w:pStyle w:val="2"/>
        <w:tabs>
          <w:tab w:val="left" w:pos="426"/>
          <w:tab w:val="left" w:pos="993"/>
        </w:tabs>
        <w:ind w:left="0" w:firstLine="567"/>
        <w:jc w:val="both"/>
        <w:rPr>
          <w:b/>
          <w:sz w:val="28"/>
          <w:szCs w:val="28"/>
          <w:lang w:val="uk-UA"/>
        </w:rPr>
      </w:pPr>
    </w:p>
    <w:p w:rsidR="005E77E0" w:rsidRPr="005E77E0" w:rsidRDefault="005E77E0" w:rsidP="005E77E0">
      <w:pPr>
        <w:pStyle w:val="2"/>
        <w:tabs>
          <w:tab w:val="left" w:pos="0"/>
        </w:tabs>
        <w:ind w:left="0" w:firstLine="567"/>
        <w:jc w:val="both"/>
        <w:rPr>
          <w:sz w:val="28"/>
          <w:szCs w:val="28"/>
          <w:lang w:val="uk-UA"/>
        </w:rPr>
      </w:pPr>
      <w:r w:rsidRPr="005E77E0">
        <w:rPr>
          <w:sz w:val="28"/>
          <w:szCs w:val="28"/>
          <w:lang w:val="uk-UA"/>
        </w:rPr>
        <w:t>За останніми статистичними даними фінансовий результат великих та середніх підприємств Дарницького району до оподаткування (сальдо) у січні-березні 2017 року склав  332</w:t>
      </w:r>
      <w:r w:rsidR="00060A08">
        <w:rPr>
          <w:sz w:val="28"/>
          <w:szCs w:val="28"/>
          <w:lang w:val="uk-UA"/>
        </w:rPr>
        <w:t xml:space="preserve"> </w:t>
      </w:r>
      <w:r w:rsidRPr="005E77E0">
        <w:rPr>
          <w:sz w:val="28"/>
          <w:szCs w:val="28"/>
          <w:lang w:val="uk-UA"/>
        </w:rPr>
        <w:t>964,7 тис. грн.,  у відповідний період 2016 року цей показник був  негативним  і становив 1</w:t>
      </w:r>
      <w:r w:rsidR="00060A08">
        <w:rPr>
          <w:sz w:val="28"/>
          <w:szCs w:val="28"/>
          <w:lang w:val="uk-UA"/>
        </w:rPr>
        <w:t xml:space="preserve"> </w:t>
      </w:r>
      <w:r w:rsidRPr="005E77E0">
        <w:rPr>
          <w:sz w:val="28"/>
          <w:szCs w:val="28"/>
          <w:lang w:val="uk-UA"/>
        </w:rPr>
        <w:t>588</w:t>
      </w:r>
      <w:r w:rsidR="00060A08">
        <w:rPr>
          <w:sz w:val="28"/>
          <w:szCs w:val="28"/>
          <w:lang w:val="uk-UA"/>
        </w:rPr>
        <w:t xml:space="preserve"> </w:t>
      </w:r>
      <w:r w:rsidRPr="005E77E0">
        <w:rPr>
          <w:sz w:val="28"/>
          <w:szCs w:val="28"/>
          <w:lang w:val="uk-UA"/>
        </w:rPr>
        <w:t>682,1 тис. грн.</w:t>
      </w:r>
    </w:p>
    <w:p w:rsidR="005E77E0" w:rsidRPr="005E77E0" w:rsidRDefault="005E77E0" w:rsidP="005E77E0">
      <w:pPr>
        <w:pStyle w:val="2"/>
        <w:tabs>
          <w:tab w:val="left" w:pos="-142"/>
          <w:tab w:val="left" w:pos="0"/>
        </w:tabs>
        <w:ind w:left="0" w:firstLine="567"/>
        <w:jc w:val="both"/>
        <w:rPr>
          <w:sz w:val="28"/>
          <w:szCs w:val="28"/>
          <w:lang w:val="uk-UA"/>
        </w:rPr>
      </w:pPr>
      <w:r w:rsidRPr="005E77E0">
        <w:rPr>
          <w:sz w:val="28"/>
          <w:szCs w:val="28"/>
          <w:lang w:val="uk-UA"/>
        </w:rPr>
        <w:t>Прибуток  до оподаткування у січні-березні 2017 року – 734</w:t>
      </w:r>
      <w:r w:rsidR="00060A08">
        <w:rPr>
          <w:sz w:val="28"/>
          <w:szCs w:val="28"/>
          <w:lang w:val="uk-UA"/>
        </w:rPr>
        <w:t xml:space="preserve"> </w:t>
      </w:r>
      <w:r w:rsidRPr="005E77E0">
        <w:rPr>
          <w:sz w:val="28"/>
          <w:szCs w:val="28"/>
          <w:lang w:val="uk-UA"/>
        </w:rPr>
        <w:t>163,9 тис. грн. (у січні-березні 2016 року</w:t>
      </w:r>
      <w:r w:rsidR="00060A08">
        <w:rPr>
          <w:sz w:val="28"/>
          <w:szCs w:val="28"/>
          <w:lang w:val="uk-UA"/>
        </w:rPr>
        <w:t xml:space="preserve"> </w:t>
      </w:r>
      <w:r w:rsidRPr="005E77E0">
        <w:rPr>
          <w:sz w:val="28"/>
          <w:szCs w:val="28"/>
          <w:lang w:val="uk-UA"/>
        </w:rPr>
        <w:t xml:space="preserve"> – 420</w:t>
      </w:r>
      <w:r w:rsidR="00060A08">
        <w:rPr>
          <w:sz w:val="28"/>
          <w:szCs w:val="28"/>
          <w:lang w:val="uk-UA"/>
        </w:rPr>
        <w:t xml:space="preserve"> </w:t>
      </w:r>
      <w:r w:rsidRPr="005E77E0">
        <w:rPr>
          <w:sz w:val="28"/>
          <w:szCs w:val="28"/>
          <w:lang w:val="uk-UA"/>
        </w:rPr>
        <w:t>953,5 тис. грн.).</w:t>
      </w:r>
    </w:p>
    <w:p w:rsidR="005E77E0" w:rsidRPr="005E77E0" w:rsidRDefault="005E77E0" w:rsidP="005E77E0">
      <w:pPr>
        <w:pStyle w:val="2"/>
        <w:tabs>
          <w:tab w:val="left" w:pos="0"/>
          <w:tab w:val="left" w:pos="426"/>
          <w:tab w:val="left" w:pos="993"/>
        </w:tabs>
        <w:ind w:left="0" w:firstLine="567"/>
        <w:jc w:val="both"/>
        <w:rPr>
          <w:sz w:val="28"/>
          <w:szCs w:val="28"/>
          <w:lang w:val="uk-UA"/>
        </w:rPr>
      </w:pPr>
      <w:r w:rsidRPr="005E77E0">
        <w:rPr>
          <w:sz w:val="28"/>
          <w:szCs w:val="28"/>
          <w:lang w:val="uk-UA"/>
        </w:rPr>
        <w:t>Збиток до оподаткування у січні-березні 2017 року – 401</w:t>
      </w:r>
      <w:r w:rsidR="00060A08">
        <w:rPr>
          <w:sz w:val="28"/>
          <w:szCs w:val="28"/>
          <w:lang w:val="uk-UA"/>
        </w:rPr>
        <w:t xml:space="preserve"> </w:t>
      </w:r>
      <w:r w:rsidRPr="005E77E0">
        <w:rPr>
          <w:sz w:val="28"/>
          <w:szCs w:val="28"/>
          <w:lang w:val="uk-UA"/>
        </w:rPr>
        <w:t>199,2 тис. грн.</w:t>
      </w:r>
      <w:r w:rsidRPr="005E77E0">
        <w:rPr>
          <w:sz w:val="28"/>
          <w:szCs w:val="28"/>
          <w:lang w:val="uk-UA"/>
        </w:rPr>
        <w:br/>
        <w:t>(у січні-березні 2016 року – 2</w:t>
      </w:r>
      <w:r w:rsidR="00060A08">
        <w:rPr>
          <w:sz w:val="28"/>
          <w:szCs w:val="28"/>
          <w:lang w:val="uk-UA"/>
        </w:rPr>
        <w:t xml:space="preserve"> </w:t>
      </w:r>
      <w:r w:rsidRPr="005E77E0">
        <w:rPr>
          <w:sz w:val="28"/>
          <w:szCs w:val="28"/>
          <w:lang w:val="uk-UA"/>
        </w:rPr>
        <w:t>009</w:t>
      </w:r>
      <w:r w:rsidR="00060A08">
        <w:rPr>
          <w:sz w:val="28"/>
          <w:szCs w:val="28"/>
          <w:lang w:val="uk-UA"/>
        </w:rPr>
        <w:t xml:space="preserve"> </w:t>
      </w:r>
      <w:r w:rsidRPr="005E77E0">
        <w:rPr>
          <w:sz w:val="28"/>
          <w:szCs w:val="28"/>
          <w:lang w:val="uk-UA"/>
        </w:rPr>
        <w:t>635,6 тис. грн.).</w:t>
      </w:r>
    </w:p>
    <w:p w:rsidR="005E77E0" w:rsidRPr="005E77E0" w:rsidRDefault="005E77E0" w:rsidP="005E77E0">
      <w:pPr>
        <w:pStyle w:val="2"/>
        <w:tabs>
          <w:tab w:val="left" w:pos="0"/>
          <w:tab w:val="left" w:pos="426"/>
          <w:tab w:val="left" w:pos="993"/>
        </w:tabs>
        <w:ind w:left="0"/>
        <w:jc w:val="both"/>
        <w:rPr>
          <w:color w:val="FF0000"/>
          <w:sz w:val="28"/>
          <w:szCs w:val="28"/>
          <w:lang w:val="uk-UA"/>
        </w:rPr>
      </w:pPr>
    </w:p>
    <w:p w:rsidR="005E77E0" w:rsidRPr="005E77E0" w:rsidRDefault="005E77E0" w:rsidP="005E77E0">
      <w:pPr>
        <w:pStyle w:val="2"/>
        <w:tabs>
          <w:tab w:val="left" w:pos="426"/>
          <w:tab w:val="left" w:pos="993"/>
        </w:tabs>
        <w:ind w:left="0" w:firstLine="567"/>
        <w:jc w:val="both"/>
        <w:rPr>
          <w:sz w:val="28"/>
          <w:szCs w:val="28"/>
          <w:lang w:val="uk-UA"/>
        </w:rPr>
      </w:pPr>
      <w:r w:rsidRPr="005E77E0">
        <w:rPr>
          <w:color w:val="FF0000"/>
          <w:sz w:val="28"/>
          <w:szCs w:val="28"/>
          <w:lang w:val="uk-UA"/>
        </w:rPr>
        <w:tab/>
      </w:r>
      <w:r w:rsidRPr="005E77E0">
        <w:rPr>
          <w:color w:val="FF0000"/>
          <w:sz w:val="28"/>
          <w:szCs w:val="28"/>
          <w:lang w:val="uk-UA"/>
        </w:rPr>
        <w:tab/>
      </w:r>
      <w:r w:rsidRPr="005E77E0">
        <w:rPr>
          <w:color w:val="FF0000"/>
          <w:sz w:val="28"/>
          <w:szCs w:val="28"/>
          <w:lang w:val="uk-UA"/>
        </w:rPr>
        <w:tab/>
      </w:r>
      <w:r w:rsidRPr="005E77E0">
        <w:rPr>
          <w:color w:val="FF0000"/>
          <w:sz w:val="28"/>
          <w:szCs w:val="28"/>
          <w:lang w:val="uk-UA"/>
        </w:rPr>
        <w:tab/>
      </w:r>
      <w:r w:rsidRPr="005E77E0">
        <w:rPr>
          <w:color w:val="FF0000"/>
          <w:sz w:val="28"/>
          <w:szCs w:val="28"/>
          <w:lang w:val="uk-UA"/>
        </w:rPr>
        <w:tab/>
      </w:r>
      <w:r w:rsidR="00F16905">
        <w:rPr>
          <w:b/>
          <w:sz w:val="28"/>
          <w:szCs w:val="28"/>
          <w:lang w:val="uk-UA"/>
        </w:rPr>
        <w:t>9</w:t>
      </w:r>
      <w:r w:rsidR="00653F0B">
        <w:rPr>
          <w:b/>
          <w:sz w:val="28"/>
          <w:szCs w:val="28"/>
          <w:lang w:val="uk-UA"/>
        </w:rPr>
        <w:t xml:space="preserve">. </w:t>
      </w:r>
      <w:r w:rsidRPr="005E77E0">
        <w:rPr>
          <w:b/>
          <w:sz w:val="28"/>
          <w:szCs w:val="28"/>
          <w:lang w:val="uk-UA"/>
        </w:rPr>
        <w:t>Доходи населення</w:t>
      </w:r>
    </w:p>
    <w:p w:rsidR="005E77E0" w:rsidRPr="005E77E0" w:rsidRDefault="005E77E0" w:rsidP="005E77E0">
      <w:pPr>
        <w:pStyle w:val="2"/>
        <w:tabs>
          <w:tab w:val="left" w:pos="993"/>
          <w:tab w:val="left" w:pos="1418"/>
        </w:tabs>
        <w:ind w:left="0" w:firstLine="567"/>
        <w:jc w:val="both"/>
        <w:rPr>
          <w:sz w:val="28"/>
          <w:szCs w:val="28"/>
          <w:lang w:val="uk-UA"/>
        </w:rPr>
      </w:pPr>
    </w:p>
    <w:p w:rsidR="005E77E0" w:rsidRPr="005E77E0" w:rsidRDefault="005E77E0" w:rsidP="005E77E0">
      <w:pPr>
        <w:pStyle w:val="2"/>
        <w:tabs>
          <w:tab w:val="left" w:pos="993"/>
          <w:tab w:val="left" w:pos="1418"/>
        </w:tabs>
        <w:ind w:left="0" w:firstLine="567"/>
        <w:jc w:val="both"/>
        <w:rPr>
          <w:spacing w:val="-2"/>
          <w:sz w:val="28"/>
          <w:szCs w:val="28"/>
          <w:lang w:val="uk-UA"/>
        </w:rPr>
      </w:pPr>
      <w:r w:rsidRPr="005E77E0">
        <w:rPr>
          <w:sz w:val="28"/>
          <w:szCs w:val="28"/>
          <w:lang w:val="uk-UA"/>
        </w:rPr>
        <w:t xml:space="preserve">За останніми статистичними даними у січні-березні </w:t>
      </w:r>
      <w:r w:rsidRPr="005E77E0">
        <w:rPr>
          <w:spacing w:val="-2"/>
          <w:sz w:val="28"/>
          <w:szCs w:val="28"/>
          <w:lang w:val="uk-UA"/>
        </w:rPr>
        <w:t xml:space="preserve">2017 року середньомісячна номінальна заробітна плата штатних працівників, зайнятих в усіх сферах економіки району </w:t>
      </w:r>
      <w:r w:rsidRPr="005E77E0">
        <w:rPr>
          <w:bCs/>
          <w:spacing w:val="-2"/>
          <w:sz w:val="28"/>
          <w:szCs w:val="28"/>
          <w:lang w:val="uk-UA"/>
        </w:rPr>
        <w:t xml:space="preserve">становила 7005,0 грн. </w:t>
      </w:r>
      <w:r w:rsidRPr="005E77E0">
        <w:rPr>
          <w:spacing w:val="-2"/>
          <w:sz w:val="28"/>
          <w:szCs w:val="28"/>
          <w:lang w:val="uk-UA"/>
        </w:rPr>
        <w:t>(по м. Києву –</w:t>
      </w:r>
      <w:r w:rsidR="006C7DC2">
        <w:rPr>
          <w:spacing w:val="-2"/>
          <w:sz w:val="28"/>
          <w:szCs w:val="28"/>
          <w:lang w:val="uk-UA"/>
        </w:rPr>
        <w:t xml:space="preserve">             </w:t>
      </w:r>
      <w:r w:rsidRPr="005E77E0">
        <w:rPr>
          <w:spacing w:val="-2"/>
          <w:sz w:val="28"/>
          <w:szCs w:val="28"/>
          <w:lang w:val="uk-UA"/>
        </w:rPr>
        <w:t xml:space="preserve"> </w:t>
      </w:r>
      <w:r w:rsidR="006C7DC2">
        <w:rPr>
          <w:spacing w:val="-2"/>
          <w:sz w:val="28"/>
          <w:szCs w:val="28"/>
          <w:lang w:val="uk-UA"/>
        </w:rPr>
        <w:t>11091</w:t>
      </w:r>
      <w:r w:rsidRPr="005E77E0">
        <w:rPr>
          <w:spacing w:val="-2"/>
          <w:sz w:val="28"/>
          <w:szCs w:val="28"/>
          <w:lang w:val="uk-UA"/>
        </w:rPr>
        <w:t xml:space="preserve">,0 </w:t>
      </w:r>
      <w:proofErr w:type="spellStart"/>
      <w:r w:rsidRPr="005E77E0">
        <w:rPr>
          <w:spacing w:val="-2"/>
          <w:sz w:val="28"/>
          <w:szCs w:val="28"/>
          <w:lang w:val="uk-UA"/>
        </w:rPr>
        <w:t>грн</w:t>
      </w:r>
      <w:proofErr w:type="spellEnd"/>
      <w:r w:rsidRPr="005E77E0">
        <w:rPr>
          <w:spacing w:val="-2"/>
          <w:sz w:val="28"/>
          <w:szCs w:val="28"/>
          <w:lang w:val="uk-UA"/>
        </w:rPr>
        <w:t>). До середнього рівня по місту розмір заробітної плати по Дарницькому району складав 69,7 %. Темп росту до показника січень-березень 2016 року складає 128,9% .</w:t>
      </w:r>
    </w:p>
    <w:p w:rsidR="0001027B" w:rsidRDefault="0001027B" w:rsidP="0001027B">
      <w:pPr>
        <w:pStyle w:val="a9"/>
        <w:tabs>
          <w:tab w:val="left" w:pos="709"/>
        </w:tabs>
        <w:spacing w:after="0"/>
        <w:jc w:val="center"/>
        <w:rPr>
          <w:b/>
          <w:noProof/>
          <w:sz w:val="28"/>
          <w:szCs w:val="28"/>
        </w:rPr>
      </w:pPr>
    </w:p>
    <w:p w:rsidR="0001027B" w:rsidRPr="00721F67" w:rsidRDefault="0001027B" w:rsidP="0001027B">
      <w:pPr>
        <w:pStyle w:val="a9"/>
        <w:tabs>
          <w:tab w:val="left" w:pos="709"/>
        </w:tabs>
        <w:spacing w:after="0"/>
        <w:jc w:val="center"/>
        <w:rPr>
          <w:noProof/>
          <w:sz w:val="28"/>
          <w:szCs w:val="28"/>
        </w:rPr>
      </w:pPr>
      <w:r w:rsidRPr="00721F67">
        <w:rPr>
          <w:noProof/>
          <w:sz w:val="28"/>
          <w:szCs w:val="28"/>
        </w:rPr>
        <w:t>Заробітна плата штатних працівників у м.Києві</w:t>
      </w:r>
    </w:p>
    <w:p w:rsidR="0001027B" w:rsidRPr="00721F67" w:rsidRDefault="0001027B" w:rsidP="0001027B">
      <w:pPr>
        <w:pStyle w:val="a9"/>
        <w:tabs>
          <w:tab w:val="left" w:pos="709"/>
        </w:tabs>
        <w:spacing w:after="0"/>
        <w:jc w:val="center"/>
        <w:rPr>
          <w:noProof/>
          <w:sz w:val="28"/>
          <w:szCs w:val="28"/>
        </w:rPr>
      </w:pPr>
      <w:r w:rsidRPr="00721F67">
        <w:rPr>
          <w:noProof/>
          <w:sz w:val="28"/>
          <w:szCs w:val="28"/>
        </w:rPr>
        <w:t>у червні 2017 року</w:t>
      </w:r>
    </w:p>
    <w:p w:rsidR="0001027B" w:rsidRPr="0001027B" w:rsidRDefault="0001027B" w:rsidP="0001027B">
      <w:pPr>
        <w:pStyle w:val="a9"/>
        <w:tabs>
          <w:tab w:val="left" w:pos="709"/>
        </w:tabs>
        <w:spacing w:after="0"/>
        <w:jc w:val="center"/>
        <w:rPr>
          <w:noProof/>
          <w:sz w:val="28"/>
          <w:szCs w:val="28"/>
        </w:rPr>
      </w:pPr>
    </w:p>
    <w:p w:rsidR="0001027B" w:rsidRPr="0001027B" w:rsidRDefault="0001027B" w:rsidP="0001027B">
      <w:pPr>
        <w:spacing w:after="0" w:line="240" w:lineRule="auto"/>
        <w:ind w:firstLine="709"/>
        <w:jc w:val="both"/>
        <w:rPr>
          <w:rFonts w:ascii="Times New Roman" w:hAnsi="Times New Roman" w:cs="Times New Roman"/>
          <w:bCs/>
          <w:noProof/>
          <w:sz w:val="28"/>
          <w:szCs w:val="28"/>
          <w:lang w:val="uk-UA"/>
        </w:rPr>
      </w:pPr>
      <w:r w:rsidRPr="0001027B">
        <w:rPr>
          <w:rFonts w:ascii="Times New Roman" w:hAnsi="Times New Roman" w:cs="Times New Roman"/>
          <w:bCs/>
          <w:noProof/>
          <w:sz w:val="28"/>
          <w:szCs w:val="28"/>
          <w:lang w:val="uk-UA"/>
        </w:rPr>
        <w:t>Середня номінальна заробітна плата штатного працівника підприємств, установ та організацій у червні 2017р. становила 11091 грн, що у 3,5 раза вище рівня мінімальної заробітної плати (3200 грн).</w:t>
      </w:r>
    </w:p>
    <w:p w:rsidR="0001027B" w:rsidRPr="0001027B" w:rsidRDefault="0001027B" w:rsidP="0001027B">
      <w:pPr>
        <w:spacing w:after="0" w:line="240" w:lineRule="auto"/>
        <w:ind w:firstLine="709"/>
        <w:jc w:val="both"/>
        <w:rPr>
          <w:rFonts w:ascii="Times New Roman" w:hAnsi="Times New Roman" w:cs="Times New Roman"/>
          <w:bCs/>
          <w:noProof/>
          <w:sz w:val="28"/>
          <w:szCs w:val="28"/>
          <w:lang w:val="uk-UA"/>
        </w:rPr>
      </w:pPr>
      <w:r w:rsidRPr="0001027B">
        <w:rPr>
          <w:rFonts w:ascii="Times New Roman" w:hAnsi="Times New Roman" w:cs="Times New Roman"/>
          <w:bCs/>
          <w:noProof/>
          <w:sz w:val="28"/>
          <w:szCs w:val="28"/>
          <w:lang w:val="uk-UA"/>
        </w:rPr>
        <w:t xml:space="preserve">Порівняно з травнем 2017р. розмір заробітної плати збільшився на 5,0%, а за останні 12 місяців (відносно червня 2016р.) </w:t>
      </w:r>
      <w:r w:rsidRPr="0001027B">
        <w:rPr>
          <w:rFonts w:ascii="Times New Roman" w:hAnsi="Times New Roman" w:cs="Times New Roman"/>
          <w:bCs/>
          <w:noProof/>
          <w:sz w:val="28"/>
          <w:szCs w:val="28"/>
        </w:rPr>
        <w:t>–</w:t>
      </w:r>
      <w:r w:rsidRPr="0001027B">
        <w:rPr>
          <w:rFonts w:ascii="Times New Roman" w:hAnsi="Times New Roman" w:cs="Times New Roman"/>
          <w:bCs/>
          <w:noProof/>
          <w:sz w:val="28"/>
          <w:szCs w:val="28"/>
          <w:lang w:val="uk-UA"/>
        </w:rPr>
        <w:t xml:space="preserve"> на 29,7%.</w:t>
      </w:r>
    </w:p>
    <w:p w:rsidR="0001027B" w:rsidRPr="0001027B" w:rsidRDefault="0001027B" w:rsidP="0001027B">
      <w:pPr>
        <w:pStyle w:val="a9"/>
        <w:tabs>
          <w:tab w:val="left" w:pos="709"/>
        </w:tabs>
        <w:spacing w:after="0"/>
        <w:jc w:val="center"/>
        <w:rPr>
          <w:noProof/>
          <w:sz w:val="28"/>
          <w:szCs w:val="28"/>
        </w:rPr>
      </w:pPr>
    </w:p>
    <w:p w:rsidR="0001027B" w:rsidRPr="0001027B" w:rsidRDefault="0001027B" w:rsidP="0001027B">
      <w:pPr>
        <w:spacing w:after="0" w:line="240" w:lineRule="auto"/>
        <w:jc w:val="center"/>
        <w:rPr>
          <w:rFonts w:ascii="Times New Roman" w:hAnsi="Times New Roman" w:cs="Times New Roman"/>
          <w:b/>
          <w:noProof/>
          <w:sz w:val="28"/>
          <w:szCs w:val="28"/>
          <w:lang w:val="uk-UA"/>
        </w:rPr>
      </w:pPr>
      <w:r w:rsidRPr="0001027B">
        <w:rPr>
          <w:rFonts w:ascii="Times New Roman" w:hAnsi="Times New Roman" w:cs="Times New Roman"/>
          <w:b/>
          <w:noProof/>
          <w:sz w:val="28"/>
          <w:szCs w:val="28"/>
          <w:lang w:val="uk-UA"/>
        </w:rPr>
        <w:t>Динаміка середньої заробітної плати у 2016–2017 роках</w:t>
      </w:r>
    </w:p>
    <w:p w:rsidR="0001027B" w:rsidRPr="0001027B" w:rsidRDefault="0001027B" w:rsidP="0001027B">
      <w:pPr>
        <w:pStyle w:val="a9"/>
        <w:tabs>
          <w:tab w:val="left" w:pos="709"/>
        </w:tabs>
        <w:spacing w:after="0"/>
        <w:jc w:val="center"/>
        <w:rPr>
          <w:noProof/>
          <w:sz w:val="28"/>
          <w:szCs w:val="28"/>
        </w:rPr>
      </w:pPr>
    </w:p>
    <w:p w:rsidR="005E77E0" w:rsidRPr="005E77E0" w:rsidRDefault="0001027B" w:rsidP="0001027B">
      <w:pPr>
        <w:spacing w:after="0" w:line="240" w:lineRule="auto"/>
        <w:jc w:val="both"/>
        <w:rPr>
          <w:rFonts w:ascii="Times New Roman" w:hAnsi="Times New Roman" w:cs="Times New Roman"/>
          <w:b/>
          <w:color w:val="FF0000"/>
          <w:sz w:val="28"/>
          <w:szCs w:val="28"/>
        </w:rPr>
      </w:pPr>
      <w:r>
        <w:rPr>
          <w:rFonts w:ascii="Calibri" w:hAnsi="Calibri"/>
          <w:noProof/>
          <w:color w:val="FF6600"/>
        </w:rPr>
        <w:drawing>
          <wp:inline distT="0" distB="0" distL="0" distR="0">
            <wp:extent cx="5705475" cy="26860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1027B" w:rsidRDefault="005E77E0" w:rsidP="00971BF9">
      <w:pPr>
        <w:spacing w:after="0" w:line="24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p>
    <w:p w:rsidR="005E77E0" w:rsidRPr="005E77E0" w:rsidRDefault="0001027B" w:rsidP="005E77E0">
      <w:pPr>
        <w:spacing w:after="0" w:line="24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E77E0">
        <w:rPr>
          <w:rFonts w:ascii="Times New Roman" w:hAnsi="Times New Roman" w:cs="Times New Roman"/>
          <w:b/>
          <w:sz w:val="28"/>
          <w:szCs w:val="28"/>
          <w:lang w:val="uk-UA"/>
        </w:rPr>
        <w:t xml:space="preserve">    </w:t>
      </w:r>
      <w:r w:rsidR="00653F0B">
        <w:rPr>
          <w:rFonts w:ascii="Times New Roman" w:hAnsi="Times New Roman" w:cs="Times New Roman"/>
          <w:b/>
          <w:sz w:val="28"/>
          <w:szCs w:val="28"/>
          <w:lang w:val="uk-UA"/>
        </w:rPr>
        <w:t>1</w:t>
      </w:r>
      <w:r w:rsidR="00F16905">
        <w:rPr>
          <w:rFonts w:ascii="Times New Roman" w:hAnsi="Times New Roman" w:cs="Times New Roman"/>
          <w:b/>
          <w:sz w:val="28"/>
          <w:szCs w:val="28"/>
          <w:lang w:val="uk-UA"/>
        </w:rPr>
        <w:t>0</w:t>
      </w:r>
      <w:r w:rsidR="005E77E0" w:rsidRPr="005E77E0">
        <w:rPr>
          <w:rFonts w:ascii="Times New Roman" w:hAnsi="Times New Roman" w:cs="Times New Roman"/>
          <w:b/>
          <w:sz w:val="28"/>
          <w:szCs w:val="28"/>
          <w:lang w:val="uk-UA"/>
        </w:rPr>
        <w:t>. Ринок праці</w:t>
      </w:r>
    </w:p>
    <w:p w:rsidR="005E77E0" w:rsidRPr="005E77E0" w:rsidRDefault="005E77E0" w:rsidP="005E77E0">
      <w:pPr>
        <w:spacing w:after="0" w:line="240" w:lineRule="auto"/>
        <w:ind w:firstLine="720"/>
        <w:jc w:val="both"/>
        <w:rPr>
          <w:rFonts w:ascii="Times New Roman" w:hAnsi="Times New Roman" w:cs="Times New Roman"/>
          <w:color w:val="FF0000"/>
          <w:sz w:val="28"/>
          <w:szCs w:val="28"/>
          <w:lang w:val="uk-UA"/>
        </w:rPr>
      </w:pPr>
    </w:p>
    <w:p w:rsidR="005E77E0" w:rsidRPr="005E77E0" w:rsidRDefault="005E77E0" w:rsidP="005E77E0">
      <w:pPr>
        <w:spacing w:after="0" w:line="240" w:lineRule="auto"/>
        <w:ind w:firstLine="720"/>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 xml:space="preserve">Протягом січня-червня 2017 року до центру зайнятості за сприянням у працевлаштуванні звернулось 3704 особи, серед них – 56,5% становлять  жінки, 85,8% мають вищу та базову вищу освіту, 41,7% - молоді люди віком до 35 років, 4% до звернення в службу зайнятості не працювали більше 1 року, тобто втратили свою кваліфікацію. У банку даних служби зайнятості району  протягом звітного періоду налічувалось 3393 вакансії, заявлених 818 підприємствами. На 01.07.2017 року на обліку перебуває 1421 безробітних  громадян (у т.ч. 184 робітників, 1212 - службовці, 25 - особи, які не мають професії або займали місця, що не потребують спеціальної підготовки), для яких надаються послуги щодо сприяння зайнятості, передбачені Законами України </w:t>
      </w:r>
      <w:proofErr w:type="spellStart"/>
      <w:r w:rsidRPr="005E77E0">
        <w:rPr>
          <w:rFonts w:ascii="Times New Roman" w:hAnsi="Times New Roman" w:cs="Times New Roman"/>
          <w:sz w:val="28"/>
          <w:szCs w:val="28"/>
          <w:lang w:val="uk-UA"/>
        </w:rPr>
        <w:t>“Про</w:t>
      </w:r>
      <w:proofErr w:type="spellEnd"/>
      <w:r w:rsidRPr="005E77E0">
        <w:rPr>
          <w:rFonts w:ascii="Times New Roman" w:hAnsi="Times New Roman" w:cs="Times New Roman"/>
          <w:sz w:val="28"/>
          <w:szCs w:val="28"/>
          <w:lang w:val="uk-UA"/>
        </w:rPr>
        <w:t xml:space="preserve"> зайнятість </w:t>
      </w:r>
      <w:proofErr w:type="spellStart"/>
      <w:r w:rsidRPr="005E77E0">
        <w:rPr>
          <w:rFonts w:ascii="Times New Roman" w:hAnsi="Times New Roman" w:cs="Times New Roman"/>
          <w:sz w:val="28"/>
          <w:szCs w:val="28"/>
          <w:lang w:val="uk-UA"/>
        </w:rPr>
        <w:t>населення”</w:t>
      </w:r>
      <w:proofErr w:type="spellEnd"/>
      <w:r w:rsidRPr="005E77E0">
        <w:rPr>
          <w:rFonts w:ascii="Times New Roman" w:hAnsi="Times New Roman" w:cs="Times New Roman"/>
          <w:sz w:val="28"/>
          <w:szCs w:val="28"/>
          <w:lang w:val="uk-UA"/>
        </w:rPr>
        <w:t xml:space="preserve"> та </w:t>
      </w:r>
      <w:proofErr w:type="spellStart"/>
      <w:r w:rsidRPr="005E77E0">
        <w:rPr>
          <w:rFonts w:ascii="Times New Roman" w:hAnsi="Times New Roman" w:cs="Times New Roman"/>
          <w:sz w:val="28"/>
          <w:szCs w:val="28"/>
          <w:lang w:val="uk-UA"/>
        </w:rPr>
        <w:t>“Про</w:t>
      </w:r>
      <w:proofErr w:type="spellEnd"/>
      <w:r w:rsidRPr="005E77E0">
        <w:rPr>
          <w:rFonts w:ascii="Times New Roman" w:hAnsi="Times New Roman" w:cs="Times New Roman"/>
          <w:sz w:val="28"/>
          <w:szCs w:val="28"/>
          <w:lang w:val="uk-UA"/>
        </w:rPr>
        <w:t xml:space="preserve"> загальнообов’язкове державне соціальне страхування на випадок </w:t>
      </w:r>
      <w:proofErr w:type="spellStart"/>
      <w:r w:rsidRPr="005E77E0">
        <w:rPr>
          <w:rFonts w:ascii="Times New Roman" w:hAnsi="Times New Roman" w:cs="Times New Roman"/>
          <w:sz w:val="28"/>
          <w:szCs w:val="28"/>
          <w:lang w:val="uk-UA"/>
        </w:rPr>
        <w:t>безробіття”</w:t>
      </w:r>
      <w:proofErr w:type="spellEnd"/>
      <w:r w:rsidRPr="005E77E0">
        <w:rPr>
          <w:rFonts w:ascii="Times New Roman" w:hAnsi="Times New Roman" w:cs="Times New Roman"/>
          <w:sz w:val="28"/>
          <w:szCs w:val="28"/>
          <w:lang w:val="uk-UA"/>
        </w:rPr>
        <w:t>. Кількість актуальних вакансій -  1276, у т.ч. 572 – для робітників, 319 – для службовців, 385 – для осіб, які не мають професії або займали місця, що не потребують спеціальної підготовки. Так, в середньому для одного робітника відкрито 3 вакансії, для осіб, які не мають професії або займали місця, що не потребують спеціальної підготовки – майже 16, для службовців – менше одної. Таким чином, спостерігається невідповідність між потребою підприємств та професійно-кваліфікаційним складом незайнятого населення, що перебуває на обліку в центрі зайнятості.</w:t>
      </w:r>
    </w:p>
    <w:p w:rsidR="005E77E0" w:rsidRPr="005E77E0" w:rsidRDefault="005E77E0" w:rsidP="005E77E0">
      <w:pPr>
        <w:pStyle w:val="a9"/>
        <w:spacing w:after="0"/>
        <w:ind w:firstLine="480"/>
        <w:jc w:val="both"/>
        <w:rPr>
          <w:sz w:val="28"/>
          <w:szCs w:val="28"/>
        </w:rPr>
      </w:pPr>
      <w:r w:rsidRPr="005E77E0">
        <w:rPr>
          <w:sz w:val="28"/>
          <w:szCs w:val="28"/>
        </w:rPr>
        <w:t xml:space="preserve">Але не дивлячись на це, основним завданням служби зайнятості залишається сприяння у працевлаштуванні незайнятого населення, яке звернулось за допомогою. За звітний період за сприянням служби зайнятості  були забезпечені роботою 1328 чол., з них 5 осіб відкрили власні справи, отримавши одноразово виплату допомоги по безробіттю. Для забезпечення  безробітних можливістю тимчасової зайнятості шляхом організації оплачуваних громадських та тимчасових робіт, центром зайнятості було укладаються договори на   тимчасові роботи для безробітних. Всього в 2017 році прийняло участь  громадських та тимчасових роботах  186 осіб з числа безробітних, з них 58 осіб з числа квотних категорій. За січень-травень 2017 року, за кошти Фонду первинну професійну підготовку, перепідготовку та підвищення кваліфікації проходили 264 особи, після закінчення навчання за сприянням служби зайнятості роботу знайшли 178 осіб. Проводиться робота з підприємствами району з питань організації професійного навчання кадрів на виробництві відповідно до потреб роботодавців, зокрема за індивідуальними замовленнями та стажуванням на підприємствах та в організаціях. За цими формами навчались 23 особи.  </w:t>
      </w:r>
    </w:p>
    <w:p w:rsidR="005E77E0" w:rsidRDefault="005E77E0" w:rsidP="005E77E0">
      <w:pPr>
        <w:pStyle w:val="a9"/>
        <w:spacing w:after="0"/>
        <w:ind w:firstLine="720"/>
        <w:jc w:val="both"/>
        <w:rPr>
          <w:color w:val="000000"/>
          <w:sz w:val="28"/>
          <w:szCs w:val="28"/>
        </w:rPr>
      </w:pPr>
      <w:r w:rsidRPr="005E77E0">
        <w:rPr>
          <w:sz w:val="28"/>
          <w:szCs w:val="28"/>
        </w:rPr>
        <w:t xml:space="preserve">    За січень-червень 2017 року було створено роботодавцями 22 нових робочих місця  з наданням компенсації витрат на сплату  єдиного соціального внеску на працевлаштування безробітних, в розрізі видів економічної діяльності це – будівництво – 11, діяльність приватних охоронних служб – 5, транспорт – 1, роздрібна торгівля в неспеціалізованих магазинах – 4, наукова і </w:t>
      </w:r>
      <w:r w:rsidRPr="005E77E0">
        <w:rPr>
          <w:sz w:val="28"/>
          <w:szCs w:val="28"/>
        </w:rPr>
        <w:lastRenderedPageBreak/>
        <w:t>технічна діяльність – 1.</w:t>
      </w:r>
      <w:r w:rsidRPr="005E77E0">
        <w:rPr>
          <w:color w:val="000000"/>
          <w:sz w:val="28"/>
          <w:szCs w:val="28"/>
        </w:rPr>
        <w:t xml:space="preserve"> Крім цього, 5 безробітних зареєструвались як суб’єкти підприємницької діяльності, отримавши одноразово виплату допомоги по безробіттю на відкриття власної справи. </w:t>
      </w:r>
    </w:p>
    <w:p w:rsidR="00D04150" w:rsidRPr="00E94739" w:rsidRDefault="00D04150" w:rsidP="00D04150">
      <w:pPr>
        <w:pStyle w:val="af1"/>
        <w:spacing w:after="0"/>
        <w:ind w:left="0" w:firstLine="709"/>
        <w:jc w:val="both"/>
        <w:rPr>
          <w:sz w:val="28"/>
          <w:szCs w:val="28"/>
          <w:highlight w:val="yellow"/>
        </w:rPr>
      </w:pPr>
      <w:r w:rsidRPr="00257F01">
        <w:rPr>
          <w:color w:val="000000"/>
          <w:sz w:val="28"/>
          <w:szCs w:val="28"/>
        </w:rPr>
        <w:t>Середньооблікова кількість безробітних, які отримували допомогу по безробіттю у червні 2017р</w:t>
      </w:r>
      <w:r>
        <w:rPr>
          <w:color w:val="000000"/>
          <w:sz w:val="28"/>
          <w:szCs w:val="28"/>
        </w:rPr>
        <w:t>. по місту Києву</w:t>
      </w:r>
      <w:r w:rsidRPr="00257F01">
        <w:rPr>
          <w:color w:val="000000"/>
          <w:sz w:val="28"/>
          <w:szCs w:val="28"/>
        </w:rPr>
        <w:t xml:space="preserve">, становила 7963 особи. Середній розмір допомоги по безробіттю становив 4301 </w:t>
      </w:r>
      <w:proofErr w:type="spellStart"/>
      <w:r w:rsidRPr="00257F01">
        <w:rPr>
          <w:color w:val="000000"/>
          <w:sz w:val="28"/>
          <w:szCs w:val="28"/>
        </w:rPr>
        <w:t>грн</w:t>
      </w:r>
      <w:proofErr w:type="spellEnd"/>
      <w:r w:rsidRPr="00257F01">
        <w:rPr>
          <w:color w:val="000000"/>
          <w:sz w:val="28"/>
          <w:szCs w:val="28"/>
        </w:rPr>
        <w:t xml:space="preserve">, що на 34,4% вище законодавчо визначеного розміру мінімальної заробітної плати (3200 </w:t>
      </w:r>
      <w:proofErr w:type="spellStart"/>
      <w:r w:rsidRPr="00257F01">
        <w:rPr>
          <w:color w:val="000000"/>
          <w:sz w:val="28"/>
          <w:szCs w:val="28"/>
        </w:rPr>
        <w:t>грн</w:t>
      </w:r>
      <w:proofErr w:type="spellEnd"/>
      <w:r w:rsidRPr="00257F01">
        <w:rPr>
          <w:color w:val="000000"/>
          <w:sz w:val="28"/>
          <w:szCs w:val="28"/>
        </w:rPr>
        <w:t>).</w:t>
      </w:r>
    </w:p>
    <w:p w:rsidR="00D04150" w:rsidRPr="005E77E0" w:rsidRDefault="00D04150" w:rsidP="005E77E0">
      <w:pPr>
        <w:pStyle w:val="a9"/>
        <w:spacing w:after="0"/>
        <w:ind w:firstLine="720"/>
        <w:jc w:val="both"/>
        <w:rPr>
          <w:color w:val="000000"/>
          <w:sz w:val="28"/>
          <w:szCs w:val="28"/>
        </w:rPr>
      </w:pPr>
    </w:p>
    <w:p w:rsidR="005E77E0" w:rsidRPr="005E77E0" w:rsidRDefault="005E77E0" w:rsidP="005E77E0">
      <w:pPr>
        <w:pStyle w:val="a9"/>
        <w:spacing w:after="0"/>
        <w:ind w:firstLine="720"/>
        <w:jc w:val="both"/>
        <w:rPr>
          <w:sz w:val="28"/>
          <w:szCs w:val="28"/>
        </w:rPr>
      </w:pPr>
      <w:r w:rsidRPr="005E77E0">
        <w:rPr>
          <w:sz w:val="28"/>
          <w:szCs w:val="28"/>
        </w:rPr>
        <w:t>Згідно поданих звітів до управління Пенсійного фонду України в Дарницькому районі міста Києва за січень-травень 2017 року створено 2202 нових робочих місця.</w:t>
      </w:r>
    </w:p>
    <w:p w:rsidR="00A01CF5" w:rsidRPr="005E77E0" w:rsidRDefault="00A01CF5" w:rsidP="0001027B">
      <w:pPr>
        <w:spacing w:after="0" w:line="240" w:lineRule="auto"/>
        <w:jc w:val="both"/>
        <w:rPr>
          <w:rFonts w:ascii="Times New Roman" w:hAnsi="Times New Roman" w:cs="Times New Roman"/>
          <w:sz w:val="28"/>
          <w:szCs w:val="28"/>
          <w:lang w:val="uk-UA"/>
        </w:rPr>
      </w:pPr>
    </w:p>
    <w:p w:rsidR="00A01CF5" w:rsidRPr="005E77E0" w:rsidRDefault="00A01CF5" w:rsidP="005E77E0">
      <w:pPr>
        <w:spacing w:after="0" w:line="240" w:lineRule="auto"/>
        <w:ind w:firstLine="708"/>
        <w:jc w:val="both"/>
        <w:rPr>
          <w:rFonts w:ascii="Times New Roman" w:hAnsi="Times New Roman" w:cs="Times New Roman"/>
          <w:sz w:val="28"/>
          <w:szCs w:val="28"/>
          <w:lang w:val="uk-UA"/>
        </w:rPr>
      </w:pPr>
    </w:p>
    <w:p w:rsidR="001C54BE" w:rsidRPr="005E77E0" w:rsidRDefault="00A01CF5" w:rsidP="005E77E0">
      <w:pPr>
        <w:spacing w:after="0" w:line="240" w:lineRule="auto"/>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Начальник відділу</w:t>
      </w:r>
      <w:r w:rsidR="001C54BE" w:rsidRPr="005E77E0">
        <w:rPr>
          <w:rFonts w:ascii="Times New Roman" w:hAnsi="Times New Roman" w:cs="Times New Roman"/>
          <w:sz w:val="28"/>
          <w:szCs w:val="28"/>
          <w:lang w:val="uk-UA"/>
        </w:rPr>
        <w:t xml:space="preserve"> економіки та</w:t>
      </w:r>
    </w:p>
    <w:p w:rsidR="00A01CF5" w:rsidRPr="005E77E0" w:rsidRDefault="001C54BE" w:rsidP="005E77E0">
      <w:pPr>
        <w:spacing w:after="0" w:line="240" w:lineRule="auto"/>
        <w:jc w:val="both"/>
        <w:rPr>
          <w:rFonts w:ascii="Times New Roman" w:hAnsi="Times New Roman" w:cs="Times New Roman"/>
          <w:sz w:val="28"/>
          <w:szCs w:val="28"/>
          <w:lang w:val="uk-UA"/>
        </w:rPr>
      </w:pPr>
      <w:r w:rsidRPr="005E77E0">
        <w:rPr>
          <w:rFonts w:ascii="Times New Roman" w:hAnsi="Times New Roman" w:cs="Times New Roman"/>
          <w:sz w:val="28"/>
          <w:szCs w:val="28"/>
          <w:lang w:val="uk-UA"/>
        </w:rPr>
        <w:t>промислової політики</w:t>
      </w:r>
      <w:r w:rsidR="00A01CF5" w:rsidRPr="005E77E0">
        <w:rPr>
          <w:rFonts w:ascii="Times New Roman" w:hAnsi="Times New Roman" w:cs="Times New Roman"/>
          <w:sz w:val="28"/>
          <w:szCs w:val="28"/>
          <w:lang w:val="uk-UA"/>
        </w:rPr>
        <w:tab/>
      </w:r>
      <w:r w:rsidR="00A01CF5" w:rsidRPr="005E77E0">
        <w:rPr>
          <w:rFonts w:ascii="Times New Roman" w:hAnsi="Times New Roman" w:cs="Times New Roman"/>
          <w:sz w:val="28"/>
          <w:szCs w:val="28"/>
          <w:lang w:val="uk-UA"/>
        </w:rPr>
        <w:tab/>
      </w:r>
      <w:r w:rsidR="00A01CF5" w:rsidRPr="005E77E0">
        <w:rPr>
          <w:rFonts w:ascii="Times New Roman" w:hAnsi="Times New Roman" w:cs="Times New Roman"/>
          <w:sz w:val="28"/>
          <w:szCs w:val="28"/>
          <w:lang w:val="uk-UA"/>
        </w:rPr>
        <w:tab/>
      </w:r>
      <w:r w:rsidRPr="005E77E0">
        <w:rPr>
          <w:rFonts w:ascii="Times New Roman" w:hAnsi="Times New Roman" w:cs="Times New Roman"/>
          <w:sz w:val="28"/>
          <w:szCs w:val="28"/>
          <w:lang w:val="uk-UA"/>
        </w:rPr>
        <w:t xml:space="preserve">                                         Н.М. Черненко</w:t>
      </w:r>
    </w:p>
    <w:p w:rsidR="00A01CF5" w:rsidRPr="005E77E0" w:rsidRDefault="00A01CF5" w:rsidP="005E77E0">
      <w:pPr>
        <w:spacing w:after="0" w:line="240" w:lineRule="auto"/>
        <w:ind w:firstLine="708"/>
        <w:jc w:val="both"/>
        <w:rPr>
          <w:rFonts w:ascii="Times New Roman" w:hAnsi="Times New Roman" w:cs="Times New Roman"/>
          <w:sz w:val="28"/>
          <w:szCs w:val="28"/>
          <w:lang w:val="uk-UA"/>
        </w:rPr>
      </w:pPr>
    </w:p>
    <w:p w:rsidR="00A01CF5" w:rsidRPr="005E77E0" w:rsidRDefault="00A01CF5" w:rsidP="005E77E0">
      <w:pPr>
        <w:spacing w:after="0" w:line="240" w:lineRule="auto"/>
        <w:ind w:firstLine="708"/>
        <w:jc w:val="both"/>
        <w:rPr>
          <w:rFonts w:ascii="Times New Roman" w:hAnsi="Times New Roman" w:cs="Times New Roman"/>
          <w:sz w:val="28"/>
          <w:szCs w:val="28"/>
          <w:lang w:val="uk-UA"/>
        </w:rPr>
      </w:pPr>
    </w:p>
    <w:p w:rsidR="00A01CF5" w:rsidRPr="005E77E0" w:rsidRDefault="00A01CF5" w:rsidP="00653F0B">
      <w:pPr>
        <w:spacing w:after="0" w:line="240" w:lineRule="auto"/>
        <w:jc w:val="both"/>
        <w:rPr>
          <w:rFonts w:ascii="Times New Roman" w:hAnsi="Times New Roman" w:cs="Times New Roman"/>
          <w:sz w:val="28"/>
          <w:szCs w:val="28"/>
          <w:lang w:val="uk-UA"/>
        </w:rPr>
      </w:pPr>
    </w:p>
    <w:p w:rsidR="00FD16F1" w:rsidRPr="00FD16F1" w:rsidRDefault="00FD16F1" w:rsidP="00FD16F1">
      <w:pPr>
        <w:tabs>
          <w:tab w:val="left" w:pos="1320"/>
        </w:tabs>
        <w:spacing w:after="0" w:line="240" w:lineRule="auto"/>
        <w:rPr>
          <w:rFonts w:ascii="Times New Roman" w:eastAsia="Times New Roman" w:hAnsi="Times New Roman" w:cs="Times New Roman"/>
          <w:sz w:val="28"/>
          <w:szCs w:val="28"/>
          <w:lang w:val="uk-UA"/>
        </w:rPr>
      </w:pPr>
      <w:r w:rsidRPr="00FD16F1">
        <w:rPr>
          <w:rFonts w:ascii="Times New Roman" w:eastAsia="Times New Roman" w:hAnsi="Times New Roman" w:cs="Times New Roman"/>
          <w:sz w:val="28"/>
          <w:szCs w:val="28"/>
          <w:lang w:val="uk-UA"/>
        </w:rPr>
        <w:t xml:space="preserve">ПОГОДЖЕНО                                                                              </w:t>
      </w:r>
    </w:p>
    <w:p w:rsidR="00FD16F1" w:rsidRPr="00FD16F1" w:rsidRDefault="00FD16F1" w:rsidP="00FD16F1">
      <w:pPr>
        <w:tabs>
          <w:tab w:val="left" w:pos="1320"/>
        </w:tabs>
        <w:spacing w:after="0" w:line="240" w:lineRule="auto"/>
        <w:rPr>
          <w:rFonts w:ascii="Times New Roman" w:eastAsia="Times New Roman" w:hAnsi="Times New Roman" w:cs="Times New Roman"/>
          <w:sz w:val="28"/>
          <w:szCs w:val="28"/>
          <w:lang w:val="uk-UA"/>
        </w:rPr>
      </w:pPr>
      <w:r w:rsidRPr="00FD16F1">
        <w:rPr>
          <w:rFonts w:ascii="Times New Roman" w:eastAsia="Times New Roman" w:hAnsi="Times New Roman" w:cs="Times New Roman"/>
          <w:sz w:val="28"/>
          <w:szCs w:val="28"/>
          <w:lang w:val="uk-UA"/>
        </w:rPr>
        <w:t xml:space="preserve">Заступник голови </w:t>
      </w:r>
      <w:r w:rsidRPr="00FD16F1">
        <w:rPr>
          <w:rFonts w:ascii="Times New Roman" w:eastAsia="Times New Roman" w:hAnsi="Times New Roman" w:cs="Times New Roman"/>
          <w:sz w:val="28"/>
          <w:szCs w:val="28"/>
          <w:lang w:val="uk-UA"/>
        </w:rPr>
        <w:tab/>
        <w:t xml:space="preserve">                                                                    </w:t>
      </w:r>
    </w:p>
    <w:p w:rsidR="00FD16F1" w:rsidRPr="00FD16F1" w:rsidRDefault="00FD16F1" w:rsidP="00FD16F1">
      <w:pPr>
        <w:tabs>
          <w:tab w:val="left" w:pos="1320"/>
        </w:tabs>
        <w:spacing w:after="0" w:line="240" w:lineRule="auto"/>
        <w:rPr>
          <w:rFonts w:ascii="Times New Roman" w:eastAsia="Times New Roman" w:hAnsi="Times New Roman" w:cs="Times New Roman"/>
          <w:sz w:val="28"/>
          <w:szCs w:val="28"/>
          <w:lang w:val="uk-UA"/>
        </w:rPr>
      </w:pPr>
      <w:r w:rsidRPr="00FD16F1">
        <w:rPr>
          <w:rFonts w:ascii="Times New Roman" w:eastAsia="Times New Roman" w:hAnsi="Times New Roman" w:cs="Times New Roman"/>
          <w:sz w:val="28"/>
          <w:szCs w:val="28"/>
          <w:lang w:val="uk-UA"/>
        </w:rPr>
        <w:t xml:space="preserve">Дарницької районної в місті Києві                                             </w:t>
      </w:r>
    </w:p>
    <w:p w:rsidR="00FD16F1" w:rsidRDefault="00FD16F1" w:rsidP="00FD16F1">
      <w:pPr>
        <w:tabs>
          <w:tab w:val="left" w:pos="1320"/>
        </w:tabs>
        <w:spacing w:after="0" w:line="240" w:lineRule="auto"/>
        <w:rPr>
          <w:rFonts w:ascii="Times New Roman" w:hAnsi="Times New Roman" w:cs="Times New Roman"/>
          <w:sz w:val="28"/>
          <w:szCs w:val="28"/>
          <w:lang w:val="uk-UA"/>
        </w:rPr>
      </w:pPr>
      <w:r w:rsidRPr="00FD16F1">
        <w:rPr>
          <w:rFonts w:ascii="Times New Roman" w:eastAsia="Times New Roman" w:hAnsi="Times New Roman" w:cs="Times New Roman"/>
          <w:sz w:val="28"/>
          <w:szCs w:val="28"/>
          <w:lang w:val="uk-UA"/>
        </w:rPr>
        <w:t xml:space="preserve">державної адміністрації    </w:t>
      </w:r>
    </w:p>
    <w:p w:rsidR="00FD16F1" w:rsidRPr="00FD16F1" w:rsidRDefault="00FD16F1" w:rsidP="00FD16F1">
      <w:pPr>
        <w:tabs>
          <w:tab w:val="left" w:pos="1320"/>
        </w:tabs>
        <w:spacing w:after="0" w:line="240" w:lineRule="auto"/>
        <w:rPr>
          <w:rFonts w:ascii="Times New Roman" w:eastAsia="Times New Roman" w:hAnsi="Times New Roman" w:cs="Times New Roman"/>
          <w:sz w:val="28"/>
          <w:szCs w:val="28"/>
          <w:lang w:val="uk-UA"/>
        </w:rPr>
      </w:pPr>
      <w:r w:rsidRPr="00FD16F1">
        <w:rPr>
          <w:rFonts w:ascii="Times New Roman" w:eastAsia="Times New Roman" w:hAnsi="Times New Roman" w:cs="Times New Roman"/>
          <w:sz w:val="28"/>
          <w:szCs w:val="28"/>
          <w:lang w:val="uk-UA"/>
        </w:rPr>
        <w:t xml:space="preserve">                                                           </w:t>
      </w:r>
    </w:p>
    <w:p w:rsidR="00FD16F1" w:rsidRPr="00B769C9" w:rsidRDefault="00FD16F1" w:rsidP="00FD16F1">
      <w:pPr>
        <w:tabs>
          <w:tab w:val="left" w:pos="1320"/>
        </w:tabs>
        <w:spacing w:after="0" w:line="240" w:lineRule="auto"/>
        <w:rPr>
          <w:rFonts w:ascii="Calibri" w:eastAsia="Times New Roman" w:hAnsi="Calibri" w:cs="Times New Roman"/>
          <w:sz w:val="24"/>
          <w:szCs w:val="24"/>
          <w:lang w:val="uk-UA"/>
        </w:rPr>
      </w:pPr>
      <w:r w:rsidRPr="00FD16F1">
        <w:rPr>
          <w:rFonts w:ascii="Times New Roman" w:eastAsia="Times New Roman" w:hAnsi="Times New Roman" w:cs="Times New Roman"/>
          <w:sz w:val="28"/>
          <w:szCs w:val="28"/>
          <w:lang w:val="uk-UA"/>
        </w:rPr>
        <w:t xml:space="preserve">________________ </w:t>
      </w:r>
      <w:proofErr w:type="spellStart"/>
      <w:r w:rsidRPr="00FD16F1">
        <w:rPr>
          <w:rFonts w:ascii="Times New Roman" w:eastAsia="Times New Roman" w:hAnsi="Times New Roman" w:cs="Times New Roman"/>
          <w:sz w:val="28"/>
          <w:szCs w:val="28"/>
          <w:lang w:val="uk-UA"/>
        </w:rPr>
        <w:t>Захарченко</w:t>
      </w:r>
      <w:proofErr w:type="spellEnd"/>
      <w:r w:rsidRPr="00FD16F1">
        <w:rPr>
          <w:rFonts w:ascii="Times New Roman" w:eastAsia="Times New Roman" w:hAnsi="Times New Roman" w:cs="Times New Roman"/>
          <w:sz w:val="28"/>
          <w:szCs w:val="28"/>
          <w:lang w:val="uk-UA"/>
        </w:rPr>
        <w:t xml:space="preserve"> П.П.</w:t>
      </w:r>
      <w:r>
        <w:rPr>
          <w:rFonts w:ascii="Calibri" w:eastAsia="Times New Roman" w:hAnsi="Calibri" w:cs="Times New Roman"/>
          <w:sz w:val="24"/>
          <w:szCs w:val="24"/>
          <w:lang w:val="uk-UA"/>
        </w:rPr>
        <w:tab/>
        <w:t xml:space="preserve">                                </w:t>
      </w:r>
    </w:p>
    <w:p w:rsidR="00FD16F1" w:rsidRDefault="00FD16F1" w:rsidP="00FD16F1">
      <w:pPr>
        <w:tabs>
          <w:tab w:val="left" w:pos="1320"/>
        </w:tabs>
        <w:jc w:val="center"/>
        <w:rPr>
          <w:rFonts w:ascii="Calibri" w:eastAsia="Times New Roman" w:hAnsi="Calibri" w:cs="Times New Roman"/>
          <w:sz w:val="28"/>
          <w:szCs w:val="28"/>
          <w:lang w:val="uk-UA"/>
        </w:rPr>
      </w:pPr>
    </w:p>
    <w:p w:rsidR="008A4634" w:rsidRDefault="008A4634" w:rsidP="004F4EAE">
      <w:pPr>
        <w:spacing w:after="0"/>
        <w:ind w:firstLine="708"/>
        <w:jc w:val="both"/>
        <w:rPr>
          <w:rFonts w:ascii="Times New Roman" w:hAnsi="Times New Roman" w:cs="Times New Roman"/>
          <w:sz w:val="28"/>
          <w:szCs w:val="28"/>
          <w:lang w:val="uk-UA"/>
        </w:rPr>
      </w:pPr>
    </w:p>
    <w:p w:rsidR="002F3307" w:rsidRDefault="002F3307" w:rsidP="004F4EAE">
      <w:pPr>
        <w:spacing w:after="0"/>
        <w:ind w:firstLine="708"/>
        <w:jc w:val="both"/>
        <w:rPr>
          <w:rFonts w:ascii="Times New Roman" w:hAnsi="Times New Roman" w:cs="Times New Roman"/>
          <w:sz w:val="28"/>
          <w:szCs w:val="28"/>
          <w:lang w:val="uk-UA"/>
        </w:rPr>
      </w:pPr>
    </w:p>
    <w:p w:rsidR="00F53E77" w:rsidRDefault="00F53E77" w:rsidP="004F4EAE">
      <w:pPr>
        <w:spacing w:after="0"/>
        <w:ind w:firstLine="708"/>
        <w:jc w:val="both"/>
        <w:rPr>
          <w:rFonts w:ascii="Times New Roman" w:hAnsi="Times New Roman" w:cs="Times New Roman"/>
          <w:sz w:val="28"/>
          <w:szCs w:val="28"/>
          <w:lang w:val="uk-UA"/>
        </w:rPr>
      </w:pPr>
    </w:p>
    <w:p w:rsidR="00F53E77" w:rsidRDefault="00F53E77" w:rsidP="004F4EAE">
      <w:pPr>
        <w:spacing w:after="0"/>
        <w:ind w:firstLine="708"/>
        <w:jc w:val="both"/>
        <w:rPr>
          <w:rFonts w:ascii="Times New Roman" w:hAnsi="Times New Roman" w:cs="Times New Roman"/>
          <w:sz w:val="28"/>
          <w:szCs w:val="28"/>
          <w:lang w:val="uk-UA"/>
        </w:rPr>
      </w:pPr>
    </w:p>
    <w:p w:rsidR="00061D60" w:rsidRDefault="00061D60" w:rsidP="004F4EAE">
      <w:pPr>
        <w:spacing w:after="0"/>
        <w:ind w:firstLine="708"/>
        <w:jc w:val="both"/>
        <w:rPr>
          <w:rFonts w:ascii="Times New Roman" w:hAnsi="Times New Roman" w:cs="Times New Roman"/>
          <w:sz w:val="28"/>
          <w:szCs w:val="28"/>
          <w:lang w:val="uk-UA"/>
        </w:rPr>
      </w:pPr>
    </w:p>
    <w:p w:rsidR="007E7013" w:rsidRDefault="007E7013" w:rsidP="004F4EAE">
      <w:pPr>
        <w:spacing w:after="0"/>
        <w:ind w:firstLine="708"/>
        <w:jc w:val="both"/>
        <w:rPr>
          <w:rFonts w:ascii="Times New Roman" w:hAnsi="Times New Roman" w:cs="Times New Roman"/>
          <w:sz w:val="28"/>
          <w:szCs w:val="28"/>
          <w:lang w:val="uk-UA"/>
        </w:rPr>
      </w:pPr>
    </w:p>
    <w:p w:rsidR="007E7013" w:rsidRDefault="007E7013" w:rsidP="004F4EAE">
      <w:pPr>
        <w:spacing w:after="0"/>
        <w:ind w:firstLine="708"/>
        <w:jc w:val="both"/>
        <w:rPr>
          <w:rFonts w:ascii="Times New Roman" w:hAnsi="Times New Roman" w:cs="Times New Roman"/>
          <w:sz w:val="28"/>
          <w:szCs w:val="28"/>
          <w:lang w:val="uk-UA"/>
        </w:rPr>
      </w:pPr>
    </w:p>
    <w:p w:rsidR="007E7013" w:rsidRDefault="007E7013" w:rsidP="004F4EAE">
      <w:pPr>
        <w:spacing w:after="0"/>
        <w:ind w:firstLine="708"/>
        <w:jc w:val="both"/>
        <w:rPr>
          <w:rFonts w:ascii="Times New Roman" w:hAnsi="Times New Roman" w:cs="Times New Roman"/>
          <w:sz w:val="28"/>
          <w:szCs w:val="28"/>
          <w:lang w:val="uk-UA"/>
        </w:rPr>
      </w:pPr>
    </w:p>
    <w:p w:rsidR="007E7013" w:rsidRDefault="007E7013" w:rsidP="004F4EAE">
      <w:pPr>
        <w:spacing w:after="0"/>
        <w:ind w:firstLine="708"/>
        <w:jc w:val="both"/>
        <w:rPr>
          <w:rFonts w:ascii="Times New Roman" w:hAnsi="Times New Roman" w:cs="Times New Roman"/>
          <w:sz w:val="28"/>
          <w:szCs w:val="28"/>
          <w:lang w:val="uk-UA"/>
        </w:rPr>
      </w:pPr>
    </w:p>
    <w:p w:rsidR="007E7013" w:rsidRDefault="007E7013" w:rsidP="004F4EAE">
      <w:pPr>
        <w:spacing w:after="0"/>
        <w:ind w:firstLine="708"/>
        <w:jc w:val="both"/>
        <w:rPr>
          <w:rFonts w:ascii="Times New Roman" w:hAnsi="Times New Roman" w:cs="Times New Roman"/>
          <w:sz w:val="28"/>
          <w:szCs w:val="28"/>
          <w:lang w:val="uk-UA"/>
        </w:rPr>
      </w:pPr>
    </w:p>
    <w:p w:rsidR="00B30B4D" w:rsidRDefault="00B30B4D" w:rsidP="004F4EAE">
      <w:pPr>
        <w:spacing w:after="0"/>
        <w:ind w:firstLine="708"/>
        <w:jc w:val="both"/>
        <w:rPr>
          <w:rFonts w:ascii="Times New Roman" w:hAnsi="Times New Roman" w:cs="Times New Roman"/>
          <w:sz w:val="28"/>
          <w:szCs w:val="28"/>
          <w:lang w:val="uk-UA"/>
        </w:rPr>
      </w:pPr>
    </w:p>
    <w:p w:rsidR="00B30B4D" w:rsidRDefault="00B30B4D" w:rsidP="004F4EAE">
      <w:pPr>
        <w:spacing w:after="0"/>
        <w:ind w:firstLine="708"/>
        <w:jc w:val="both"/>
        <w:rPr>
          <w:rFonts w:ascii="Times New Roman" w:hAnsi="Times New Roman" w:cs="Times New Roman"/>
          <w:sz w:val="28"/>
          <w:szCs w:val="28"/>
          <w:lang w:val="uk-UA"/>
        </w:rPr>
      </w:pPr>
    </w:p>
    <w:p w:rsidR="00B30B4D" w:rsidRDefault="00B30B4D" w:rsidP="00653F0B">
      <w:pPr>
        <w:spacing w:after="0"/>
        <w:jc w:val="both"/>
        <w:rPr>
          <w:rFonts w:ascii="Times New Roman" w:hAnsi="Times New Roman" w:cs="Times New Roman"/>
          <w:sz w:val="28"/>
          <w:szCs w:val="28"/>
          <w:lang w:val="uk-UA"/>
        </w:rPr>
      </w:pPr>
    </w:p>
    <w:sectPr w:rsidR="00B30B4D" w:rsidSect="00B3378E">
      <w:headerReference w:type="default" r:id="rId8"/>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F1" w:rsidRDefault="00CC75F1" w:rsidP="00A01CF5">
      <w:pPr>
        <w:spacing w:after="0" w:line="240" w:lineRule="auto"/>
      </w:pPr>
      <w:r>
        <w:separator/>
      </w:r>
    </w:p>
  </w:endnote>
  <w:endnote w:type="continuationSeparator" w:id="0">
    <w:p w:rsidR="00CC75F1" w:rsidRDefault="00CC75F1" w:rsidP="00A01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F1" w:rsidRDefault="00CC75F1" w:rsidP="00A01CF5">
      <w:pPr>
        <w:spacing w:after="0" w:line="240" w:lineRule="auto"/>
      </w:pPr>
      <w:r>
        <w:separator/>
      </w:r>
    </w:p>
  </w:footnote>
  <w:footnote w:type="continuationSeparator" w:id="0">
    <w:p w:rsidR="00CC75F1" w:rsidRDefault="00CC75F1" w:rsidP="00A01C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1168"/>
      <w:docPartObj>
        <w:docPartGallery w:val="Page Numbers (Top of Page)"/>
        <w:docPartUnique/>
      </w:docPartObj>
    </w:sdtPr>
    <w:sdtContent>
      <w:p w:rsidR="00BD06FF" w:rsidRDefault="00CB1C96">
        <w:pPr>
          <w:pStyle w:val="a4"/>
          <w:jc w:val="center"/>
        </w:pPr>
        <w:fldSimple w:instr=" PAGE   \* MERGEFORMAT ">
          <w:r w:rsidR="007354A1">
            <w:rPr>
              <w:noProof/>
            </w:rPr>
            <w:t>6</w:t>
          </w:r>
        </w:fldSimple>
      </w:p>
    </w:sdtContent>
  </w:sdt>
  <w:p w:rsidR="00A01CF5" w:rsidRDefault="00A01CF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457E3"/>
    <w:multiLevelType w:val="hybridMultilevel"/>
    <w:tmpl w:val="7516448E"/>
    <w:lvl w:ilvl="0" w:tplc="E09073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10CE5"/>
    <w:rsid w:val="0001027B"/>
    <w:rsid w:val="00035341"/>
    <w:rsid w:val="0005397C"/>
    <w:rsid w:val="00060A08"/>
    <w:rsid w:val="00061D60"/>
    <w:rsid w:val="000801C5"/>
    <w:rsid w:val="00090FBB"/>
    <w:rsid w:val="000E2A97"/>
    <w:rsid w:val="000E76D3"/>
    <w:rsid w:val="0010187C"/>
    <w:rsid w:val="00110CE5"/>
    <w:rsid w:val="00156C1E"/>
    <w:rsid w:val="0019795F"/>
    <w:rsid w:val="001A4A1A"/>
    <w:rsid w:val="001C54BE"/>
    <w:rsid w:val="001D5411"/>
    <w:rsid w:val="00230166"/>
    <w:rsid w:val="00261BFE"/>
    <w:rsid w:val="00262390"/>
    <w:rsid w:val="0029688F"/>
    <w:rsid w:val="002C3180"/>
    <w:rsid w:val="002D1E83"/>
    <w:rsid w:val="002D723A"/>
    <w:rsid w:val="002F3307"/>
    <w:rsid w:val="00302AC1"/>
    <w:rsid w:val="00325116"/>
    <w:rsid w:val="003314E8"/>
    <w:rsid w:val="0036647B"/>
    <w:rsid w:val="00372AEE"/>
    <w:rsid w:val="003E127C"/>
    <w:rsid w:val="00436D78"/>
    <w:rsid w:val="004558CD"/>
    <w:rsid w:val="004F22BF"/>
    <w:rsid w:val="004F4EAE"/>
    <w:rsid w:val="0051707F"/>
    <w:rsid w:val="005A4343"/>
    <w:rsid w:val="005E5F32"/>
    <w:rsid w:val="005E77E0"/>
    <w:rsid w:val="00634671"/>
    <w:rsid w:val="00653F0B"/>
    <w:rsid w:val="00660469"/>
    <w:rsid w:val="00661495"/>
    <w:rsid w:val="006C7DC2"/>
    <w:rsid w:val="006D4351"/>
    <w:rsid w:val="00712DE9"/>
    <w:rsid w:val="00721666"/>
    <w:rsid w:val="00721F67"/>
    <w:rsid w:val="007354A1"/>
    <w:rsid w:val="00771E33"/>
    <w:rsid w:val="00776227"/>
    <w:rsid w:val="00793763"/>
    <w:rsid w:val="007E7013"/>
    <w:rsid w:val="00813518"/>
    <w:rsid w:val="00847F15"/>
    <w:rsid w:val="00895F17"/>
    <w:rsid w:val="008A4634"/>
    <w:rsid w:val="008A7BBA"/>
    <w:rsid w:val="008B3F55"/>
    <w:rsid w:val="008D35D4"/>
    <w:rsid w:val="008D6651"/>
    <w:rsid w:val="009104A3"/>
    <w:rsid w:val="00913A07"/>
    <w:rsid w:val="00941E76"/>
    <w:rsid w:val="00971BF9"/>
    <w:rsid w:val="00983589"/>
    <w:rsid w:val="0099708E"/>
    <w:rsid w:val="009A648E"/>
    <w:rsid w:val="009F04EA"/>
    <w:rsid w:val="00A01CF5"/>
    <w:rsid w:val="00A86062"/>
    <w:rsid w:val="00A92B7F"/>
    <w:rsid w:val="00AB688D"/>
    <w:rsid w:val="00AD1626"/>
    <w:rsid w:val="00B25017"/>
    <w:rsid w:val="00B30B4D"/>
    <w:rsid w:val="00B3378E"/>
    <w:rsid w:val="00B7125F"/>
    <w:rsid w:val="00B97B98"/>
    <w:rsid w:val="00BD06FF"/>
    <w:rsid w:val="00BE2E08"/>
    <w:rsid w:val="00C35A16"/>
    <w:rsid w:val="00CB1C96"/>
    <w:rsid w:val="00CB3034"/>
    <w:rsid w:val="00CC75F1"/>
    <w:rsid w:val="00D04150"/>
    <w:rsid w:val="00D05B75"/>
    <w:rsid w:val="00D3026E"/>
    <w:rsid w:val="00DE0603"/>
    <w:rsid w:val="00E55998"/>
    <w:rsid w:val="00E8432B"/>
    <w:rsid w:val="00E84E78"/>
    <w:rsid w:val="00EF5323"/>
    <w:rsid w:val="00F03F5D"/>
    <w:rsid w:val="00F16905"/>
    <w:rsid w:val="00F2306B"/>
    <w:rsid w:val="00F40E99"/>
    <w:rsid w:val="00F53E70"/>
    <w:rsid w:val="00F53E77"/>
    <w:rsid w:val="00F7319E"/>
    <w:rsid w:val="00FD16F1"/>
    <w:rsid w:val="00FE5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8E"/>
  </w:style>
  <w:style w:type="paragraph" w:styleId="3">
    <w:name w:val="heading 3"/>
    <w:basedOn w:val="a"/>
    <w:next w:val="a"/>
    <w:link w:val="30"/>
    <w:unhideWhenUsed/>
    <w:qFormat/>
    <w:rsid w:val="001C54BE"/>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3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01C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1CF5"/>
  </w:style>
  <w:style w:type="paragraph" w:styleId="a6">
    <w:name w:val="footer"/>
    <w:basedOn w:val="a"/>
    <w:link w:val="a7"/>
    <w:uiPriority w:val="99"/>
    <w:semiHidden/>
    <w:unhideWhenUsed/>
    <w:rsid w:val="00A01C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01CF5"/>
  </w:style>
  <w:style w:type="paragraph" w:styleId="a8">
    <w:name w:val="List Paragraph"/>
    <w:basedOn w:val="a"/>
    <w:uiPriority w:val="34"/>
    <w:qFormat/>
    <w:rsid w:val="00B7125F"/>
    <w:pPr>
      <w:ind w:left="720"/>
      <w:contextualSpacing/>
    </w:pPr>
  </w:style>
  <w:style w:type="character" w:customStyle="1" w:styleId="30">
    <w:name w:val="Заголовок 3 Знак"/>
    <w:basedOn w:val="a0"/>
    <w:link w:val="3"/>
    <w:rsid w:val="001C54BE"/>
    <w:rPr>
      <w:rFonts w:asciiTheme="majorHAnsi" w:eastAsiaTheme="majorEastAsia" w:hAnsiTheme="majorHAnsi" w:cstheme="majorBidi"/>
      <w:b/>
      <w:bCs/>
      <w:color w:val="4F81BD" w:themeColor="accent1"/>
      <w:sz w:val="24"/>
      <w:szCs w:val="24"/>
    </w:rPr>
  </w:style>
  <w:style w:type="paragraph" w:customStyle="1" w:styleId="2">
    <w:name w:val="Абзац списку2"/>
    <w:basedOn w:val="a"/>
    <w:rsid w:val="001C54BE"/>
    <w:pPr>
      <w:widowControl w:val="0"/>
      <w:suppressAutoHyphens/>
      <w:spacing w:after="0" w:line="240" w:lineRule="auto"/>
      <w:ind w:left="720"/>
    </w:pPr>
    <w:rPr>
      <w:rFonts w:ascii="Times New Roman" w:eastAsia="Andale Sans UI" w:hAnsi="Times New Roman" w:cs="Times New Roman"/>
      <w:kern w:val="1"/>
      <w:sz w:val="24"/>
      <w:szCs w:val="24"/>
    </w:rPr>
  </w:style>
  <w:style w:type="paragraph" w:customStyle="1" w:styleId="1">
    <w:name w:val="Без интервала1"/>
    <w:qFormat/>
    <w:rsid w:val="001C54BE"/>
    <w:pPr>
      <w:spacing w:after="0" w:line="240" w:lineRule="auto"/>
    </w:pPr>
    <w:rPr>
      <w:rFonts w:ascii="Calibri" w:eastAsia="Times New Roman" w:hAnsi="Calibri" w:cs="Times New Roman"/>
    </w:rPr>
  </w:style>
  <w:style w:type="paragraph" w:styleId="a9">
    <w:name w:val="Body Text"/>
    <w:basedOn w:val="a"/>
    <w:link w:val="aa"/>
    <w:rsid w:val="001C54BE"/>
    <w:pPr>
      <w:widowControl w:val="0"/>
      <w:suppressAutoHyphens/>
      <w:spacing w:after="120" w:line="240" w:lineRule="auto"/>
    </w:pPr>
    <w:rPr>
      <w:rFonts w:ascii="Times New Roman" w:eastAsia="Calibri" w:hAnsi="Times New Roman" w:cs="Times New Roman"/>
      <w:kern w:val="1"/>
      <w:sz w:val="24"/>
      <w:szCs w:val="24"/>
      <w:lang w:val="uk-UA" w:eastAsia="ar-SA"/>
    </w:rPr>
  </w:style>
  <w:style w:type="character" w:customStyle="1" w:styleId="aa">
    <w:name w:val="Основной текст Знак"/>
    <w:basedOn w:val="a0"/>
    <w:link w:val="a9"/>
    <w:rsid w:val="001C54BE"/>
    <w:rPr>
      <w:rFonts w:ascii="Times New Roman" w:eastAsia="Calibri" w:hAnsi="Times New Roman" w:cs="Times New Roman"/>
      <w:kern w:val="1"/>
      <w:sz w:val="24"/>
      <w:szCs w:val="24"/>
      <w:lang w:val="uk-UA" w:eastAsia="ar-SA"/>
    </w:rPr>
  </w:style>
  <w:style w:type="character" w:customStyle="1" w:styleId="apple-style-span">
    <w:name w:val="apple-style-span"/>
    <w:rsid w:val="001C54BE"/>
  </w:style>
  <w:style w:type="paragraph" w:styleId="ab">
    <w:name w:val="Subtitle"/>
    <w:basedOn w:val="a"/>
    <w:link w:val="ac"/>
    <w:qFormat/>
    <w:rsid w:val="001C54BE"/>
    <w:pPr>
      <w:spacing w:after="0" w:line="240" w:lineRule="auto"/>
      <w:ind w:left="720"/>
      <w:jc w:val="both"/>
    </w:pPr>
    <w:rPr>
      <w:rFonts w:ascii="Times New Roman" w:eastAsia="Times New Roman" w:hAnsi="Times New Roman" w:cs="Times New Roman"/>
      <w:kern w:val="2"/>
      <w:sz w:val="28"/>
      <w:szCs w:val="20"/>
      <w:lang w:val="uk-UA"/>
    </w:rPr>
  </w:style>
  <w:style w:type="character" w:customStyle="1" w:styleId="ac">
    <w:name w:val="Подзаголовок Знак"/>
    <w:basedOn w:val="a0"/>
    <w:link w:val="ab"/>
    <w:rsid w:val="001C54BE"/>
    <w:rPr>
      <w:rFonts w:ascii="Times New Roman" w:eastAsia="Times New Roman" w:hAnsi="Times New Roman" w:cs="Times New Roman"/>
      <w:kern w:val="2"/>
      <w:sz w:val="28"/>
      <w:szCs w:val="20"/>
      <w:lang w:val="uk-UA"/>
    </w:rPr>
  </w:style>
  <w:style w:type="paragraph" w:customStyle="1" w:styleId="10">
    <w:name w:val="Обычный1"/>
    <w:link w:val="Normal"/>
    <w:rsid w:val="00156C1E"/>
    <w:pPr>
      <w:spacing w:after="0" w:line="240" w:lineRule="auto"/>
    </w:pPr>
    <w:rPr>
      <w:rFonts w:ascii="Times New Roman" w:eastAsia="Times New Roman" w:hAnsi="Times New Roman" w:cs="Times New Roman"/>
      <w:snapToGrid w:val="0"/>
      <w:sz w:val="20"/>
      <w:szCs w:val="20"/>
    </w:rPr>
  </w:style>
  <w:style w:type="paragraph" w:styleId="20">
    <w:name w:val="Body Text 2"/>
    <w:basedOn w:val="a"/>
    <w:link w:val="21"/>
    <w:rsid w:val="00156C1E"/>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156C1E"/>
    <w:rPr>
      <w:rFonts w:ascii="Times New Roman" w:eastAsia="Times New Roman" w:hAnsi="Times New Roman" w:cs="Times New Roman"/>
      <w:sz w:val="24"/>
      <w:szCs w:val="24"/>
    </w:rPr>
  </w:style>
  <w:style w:type="paragraph" w:customStyle="1" w:styleId="61">
    <w:name w:val="Заголовок 61"/>
    <w:basedOn w:val="10"/>
    <w:next w:val="10"/>
    <w:rsid w:val="00156C1E"/>
    <w:pPr>
      <w:keepNext/>
      <w:jc w:val="both"/>
    </w:pPr>
    <w:rPr>
      <w:b/>
      <w:snapToGrid/>
      <w:sz w:val="24"/>
      <w:lang w:val="uk-UA"/>
    </w:rPr>
  </w:style>
  <w:style w:type="paragraph" w:customStyle="1" w:styleId="210">
    <w:name w:val="Основной текст 21"/>
    <w:basedOn w:val="10"/>
    <w:rsid w:val="00156C1E"/>
    <w:pPr>
      <w:ind w:firstLine="709"/>
      <w:jc w:val="both"/>
    </w:pPr>
    <w:rPr>
      <w:snapToGrid/>
      <w:sz w:val="26"/>
      <w:lang w:val="uk-UA"/>
    </w:rPr>
  </w:style>
  <w:style w:type="character" w:customStyle="1" w:styleId="Normal">
    <w:name w:val="Normal Знак"/>
    <w:link w:val="10"/>
    <w:rsid w:val="00156C1E"/>
    <w:rPr>
      <w:rFonts w:ascii="Times New Roman" w:eastAsia="Times New Roman" w:hAnsi="Times New Roman" w:cs="Times New Roman"/>
      <w:snapToGrid w:val="0"/>
      <w:sz w:val="20"/>
      <w:szCs w:val="20"/>
    </w:rPr>
  </w:style>
  <w:style w:type="paragraph" w:customStyle="1" w:styleId="11">
    <w:name w:val="Знак Знак Знак1 Знак Знак Знак Знак"/>
    <w:basedOn w:val="a"/>
    <w:rsid w:val="00156C1E"/>
    <w:pPr>
      <w:spacing w:after="0" w:line="240" w:lineRule="auto"/>
    </w:pPr>
    <w:rPr>
      <w:rFonts w:ascii="Verdana" w:eastAsia="Times New Roman" w:hAnsi="Verdana" w:cs="Verdana"/>
      <w:sz w:val="20"/>
      <w:szCs w:val="20"/>
      <w:lang w:val="en-US" w:eastAsia="en-US"/>
    </w:rPr>
  </w:style>
  <w:style w:type="paragraph" w:styleId="ad">
    <w:name w:val="Title"/>
    <w:basedOn w:val="a"/>
    <w:link w:val="ae"/>
    <w:qFormat/>
    <w:rsid w:val="00156C1E"/>
    <w:pPr>
      <w:tabs>
        <w:tab w:val="right" w:pos="6662"/>
        <w:tab w:val="right" w:pos="9356"/>
      </w:tabs>
      <w:spacing w:after="0" w:line="240" w:lineRule="auto"/>
      <w:jc w:val="center"/>
      <w:outlineLvl w:val="0"/>
    </w:pPr>
    <w:rPr>
      <w:rFonts w:ascii="Times New Roman" w:eastAsia="Times New Roman" w:hAnsi="Times New Roman" w:cs="Times New Roman"/>
      <w:sz w:val="28"/>
      <w:szCs w:val="20"/>
      <w:lang w:val="uk-UA"/>
    </w:rPr>
  </w:style>
  <w:style w:type="character" w:customStyle="1" w:styleId="ae">
    <w:name w:val="Название Знак"/>
    <w:basedOn w:val="a0"/>
    <w:link w:val="ad"/>
    <w:rsid w:val="00156C1E"/>
    <w:rPr>
      <w:rFonts w:ascii="Times New Roman" w:eastAsia="Times New Roman" w:hAnsi="Times New Roman" w:cs="Times New Roman"/>
      <w:sz w:val="28"/>
      <w:szCs w:val="20"/>
      <w:lang w:val="uk-UA"/>
    </w:rPr>
  </w:style>
  <w:style w:type="paragraph" w:customStyle="1" w:styleId="12">
    <w:name w:val="Знак1"/>
    <w:basedOn w:val="a"/>
    <w:rsid w:val="0001027B"/>
    <w:pPr>
      <w:spacing w:after="160" w:line="240" w:lineRule="exact"/>
      <w:jc w:val="both"/>
    </w:pPr>
    <w:rPr>
      <w:rFonts w:ascii="Tahoma" w:eastAsia="Times New Roman" w:hAnsi="Tahoma" w:cs="Times New Roman"/>
      <w:b/>
      <w:sz w:val="24"/>
      <w:szCs w:val="20"/>
      <w:lang w:val="en-US" w:eastAsia="en-US"/>
    </w:rPr>
  </w:style>
  <w:style w:type="paragraph" w:styleId="af">
    <w:name w:val="Balloon Text"/>
    <w:basedOn w:val="a"/>
    <w:link w:val="af0"/>
    <w:uiPriority w:val="99"/>
    <w:semiHidden/>
    <w:unhideWhenUsed/>
    <w:rsid w:val="0001027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1027B"/>
    <w:rPr>
      <w:rFonts w:ascii="Tahoma" w:hAnsi="Tahoma" w:cs="Tahoma"/>
      <w:sz w:val="16"/>
      <w:szCs w:val="16"/>
    </w:rPr>
  </w:style>
  <w:style w:type="paragraph" w:styleId="af1">
    <w:name w:val="Body Text Indent"/>
    <w:basedOn w:val="a"/>
    <w:link w:val="af2"/>
    <w:rsid w:val="00D04150"/>
    <w:pPr>
      <w:spacing w:after="120" w:line="240" w:lineRule="auto"/>
      <w:ind w:left="283"/>
    </w:pPr>
    <w:rPr>
      <w:rFonts w:ascii="Times New Roman" w:eastAsia="Times New Roman" w:hAnsi="Times New Roman" w:cs="Times New Roman"/>
      <w:sz w:val="20"/>
      <w:szCs w:val="20"/>
      <w:lang w:val="uk-UA" w:eastAsia="uk-UA"/>
    </w:rPr>
  </w:style>
  <w:style w:type="character" w:customStyle="1" w:styleId="af2">
    <w:name w:val="Основной текст с отступом Знак"/>
    <w:basedOn w:val="a0"/>
    <w:link w:val="af1"/>
    <w:rsid w:val="00D04150"/>
    <w:rPr>
      <w:rFonts w:ascii="Times New Roman" w:eastAsia="Times New Roman" w:hAnsi="Times New Roman" w:cs="Times New Roman"/>
      <w:sz w:val="20"/>
      <w:szCs w:val="20"/>
      <w:lang w:val="uk-UA" w:eastAsia="uk-UA"/>
    </w:rPr>
  </w:style>
  <w:style w:type="paragraph" w:customStyle="1" w:styleId="13">
    <w:name w:val="Знак Знак Знак Знак Знак Знак Знак Знак Знак Знак Знак Знак Знак Знак Знак1 Знак Знак Знак Знак"/>
    <w:basedOn w:val="a"/>
    <w:rsid w:val="00D04150"/>
    <w:pPr>
      <w:spacing w:after="160" w:line="240" w:lineRule="exact"/>
      <w:jc w:val="both"/>
    </w:pPr>
    <w:rPr>
      <w:rFonts w:ascii="Tahoma" w:eastAsia="Times New Roman" w:hAnsi="Tahoma" w:cs="Times New Roman"/>
      <w:b/>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6273291925465659E-2"/>
          <c:y val="9.9264705882353282E-2"/>
          <c:w val="0.88043478260869645"/>
          <c:h val="0.56985294117647067"/>
        </c:manualLayout>
      </c:layout>
      <c:lineChart>
        <c:grouping val="standard"/>
        <c:ser>
          <c:idx val="0"/>
          <c:order val="0"/>
          <c:tx>
            <c:strRef>
              <c:f>Лист1!$C$1</c:f>
              <c:strCache>
                <c:ptCount val="1"/>
                <c:pt idx="0">
                  <c:v>2016</c:v>
                </c:pt>
              </c:strCache>
            </c:strRef>
          </c:tx>
          <c:spPr>
            <a:ln w="12682">
              <a:solidFill>
                <a:srgbClr val="000000"/>
              </a:solidFill>
              <a:prstDash val="solid"/>
            </a:ln>
          </c:spPr>
          <c:marker>
            <c:symbol val="diamond"/>
            <c:size val="2"/>
            <c:spPr>
              <a:solidFill>
                <a:srgbClr val="000000"/>
              </a:solidFill>
              <a:ln>
                <a:solidFill>
                  <a:srgbClr val="000000"/>
                </a:solidFill>
                <a:prstDash val="solid"/>
              </a:ln>
            </c:spPr>
          </c:marker>
          <c:dLbls>
            <c:dLbl>
              <c:idx val="0"/>
              <c:layout>
                <c:manualLayout>
                  <c:x val="-2.5687946873342144E-4"/>
                  <c:y val="-7.330113538686249E-2"/>
                </c:manualLayout>
              </c:layout>
              <c:dLblPos val="r"/>
              <c:showVal val="1"/>
            </c:dLbl>
            <c:dLbl>
              <c:idx val="1"/>
              <c:layout>
                <c:manualLayout>
                  <c:x val="-2.7501399364829159E-2"/>
                  <c:y val="-5.9225593124388833E-2"/>
                </c:manualLayout>
              </c:layout>
              <c:dLblPos val="r"/>
              <c:showVal val="1"/>
            </c:dLbl>
            <c:dLbl>
              <c:idx val="2"/>
              <c:layout>
                <c:manualLayout>
                  <c:x val="-2.5242813670862677E-2"/>
                  <c:y val="-5.7077397162025791E-2"/>
                </c:manualLayout>
              </c:layout>
              <c:dLblPos val="r"/>
              <c:showVal val="1"/>
            </c:dLbl>
            <c:dLbl>
              <c:idx val="3"/>
              <c:layout>
                <c:manualLayout>
                  <c:x val="-2.7642452293835999E-2"/>
                  <c:y val="-5.3442790474094302E-2"/>
                </c:manualLayout>
              </c:layout>
              <c:dLblPos val="r"/>
              <c:showVal val="1"/>
            </c:dLbl>
            <c:dLbl>
              <c:idx val="4"/>
              <c:layout>
                <c:manualLayout>
                  <c:x val="-2.8489456661981369E-2"/>
                  <c:y val="-5.813839642072275E-2"/>
                </c:manualLayout>
              </c:layout>
              <c:dLblPos val="r"/>
              <c:showVal val="1"/>
            </c:dLbl>
            <c:dLbl>
              <c:idx val="5"/>
              <c:layout>
                <c:manualLayout>
                  <c:x val="-2.7783665999070853E-2"/>
                  <c:y val="-5.6641342469863062E-2"/>
                </c:manualLayout>
              </c:layout>
              <c:dLblPos val="r"/>
              <c:showVal val="1"/>
            </c:dLbl>
            <c:dLbl>
              <c:idx val="6"/>
              <c:layout>
                <c:manualLayout>
                  <c:x val="-2.5525080305104381E-2"/>
                  <c:y val="-5.9611336129917522E-2"/>
                </c:manualLayout>
              </c:layout>
              <c:dLblPos val="r"/>
              <c:showVal val="1"/>
            </c:dLbl>
            <c:dLbl>
              <c:idx val="7"/>
              <c:layout>
                <c:manualLayout>
                  <c:x val="-2.7924879704305544E-2"/>
                  <c:y val="-5.7387115565497956E-2"/>
                </c:manualLayout>
              </c:layout>
              <c:dLblPos val="r"/>
              <c:showVal val="1"/>
            </c:dLbl>
            <c:dLbl>
              <c:idx val="8"/>
              <c:layout>
                <c:manualLayout>
                  <c:x val="-2.5666294010338979E-2"/>
                  <c:y val="-5.8729068049848024E-2"/>
                </c:manualLayout>
              </c:layout>
              <c:dLblPos val="r"/>
              <c:showVal val="1"/>
            </c:dLbl>
            <c:dLbl>
              <c:idx val="9"/>
              <c:layout>
                <c:manualLayout>
                  <c:x val="-2.4960342571201041E-2"/>
                  <c:y val="-6.2337477292810521E-2"/>
                </c:manualLayout>
              </c:layout>
              <c:dLblPos val="r"/>
              <c:showVal val="1"/>
            </c:dLbl>
            <c:dLbl>
              <c:idx val="10"/>
              <c:layout>
                <c:manualLayout>
                  <c:x val="-3.9782502218849256E-2"/>
                  <c:y val="-6.347450115356372E-2"/>
                </c:manualLayout>
              </c:layout>
              <c:dLblPos val="r"/>
              <c:showVal val="1"/>
            </c:dLbl>
            <c:dLbl>
              <c:idx val="11"/>
              <c:layout>
                <c:manualLayout>
                  <c:x val="2.8537650584476272E-3"/>
                  <c:y val="-5.9099404658272688E-2"/>
                </c:manualLayout>
              </c:layout>
              <c:dLblPos val="r"/>
              <c:showVal val="1"/>
            </c:dLbl>
            <c:spPr>
              <a:noFill/>
              <a:ln w="25363">
                <a:noFill/>
              </a:ln>
            </c:spPr>
            <c:txPr>
              <a:bodyPr/>
              <a:lstStyle/>
              <a:p>
                <a:pPr>
                  <a:defRPr lang="uk-UA" sz="899" b="0" i="0" u="none" strike="noStrike" baseline="0">
                    <a:solidFill>
                      <a:srgbClr val="000000"/>
                    </a:solidFill>
                    <a:latin typeface="calibri"/>
                    <a:ea typeface="calibri"/>
                    <a:cs typeface="calibri"/>
                  </a:defRPr>
                </a:pPr>
                <a:endParaRPr lang="ru-RU"/>
              </a:p>
            </c:txPr>
            <c:showVal val="1"/>
          </c:dLbls>
          <c:cat>
            <c:strRef>
              <c:f>Лист1!$A$2:$A$13</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Лист1!$C$2:$C$13</c:f>
              <c:numCache>
                <c:formatCode>General</c:formatCode>
                <c:ptCount val="12"/>
                <c:pt idx="0">
                  <c:v>7126</c:v>
                </c:pt>
                <c:pt idx="1">
                  <c:v>7886</c:v>
                </c:pt>
                <c:pt idx="2">
                  <c:v>8364</c:v>
                </c:pt>
                <c:pt idx="3">
                  <c:v>8228</c:v>
                </c:pt>
                <c:pt idx="4">
                  <c:v>8080</c:v>
                </c:pt>
                <c:pt idx="5">
                  <c:v>8550</c:v>
                </c:pt>
                <c:pt idx="6">
                  <c:v>8649</c:v>
                </c:pt>
                <c:pt idx="7">
                  <c:v>8586</c:v>
                </c:pt>
                <c:pt idx="8">
                  <c:v>8705</c:v>
                </c:pt>
                <c:pt idx="9">
                  <c:v>8751</c:v>
                </c:pt>
                <c:pt idx="10">
                  <c:v>9008</c:v>
                </c:pt>
                <c:pt idx="11">
                  <c:v>11094</c:v>
                </c:pt>
              </c:numCache>
            </c:numRef>
          </c:val>
        </c:ser>
        <c:ser>
          <c:idx val="1"/>
          <c:order val="1"/>
          <c:tx>
            <c:strRef>
              <c:f>Лист1!$B$1</c:f>
              <c:strCache>
                <c:ptCount val="1"/>
                <c:pt idx="0">
                  <c:v>2017</c:v>
                </c:pt>
              </c:strCache>
            </c:strRef>
          </c:tx>
          <c:spPr>
            <a:ln w="12682">
              <a:solidFill>
                <a:srgbClr val="000000"/>
              </a:solidFill>
              <a:prstDash val="solid"/>
            </a:ln>
          </c:spPr>
          <c:marker>
            <c:symbol val="square"/>
            <c:size val="2"/>
            <c:spPr>
              <a:solidFill>
                <a:srgbClr val="000000"/>
              </a:solidFill>
              <a:ln>
                <a:solidFill>
                  <a:srgbClr val="000000"/>
                </a:solidFill>
                <a:prstDash val="solid"/>
              </a:ln>
            </c:spPr>
          </c:marker>
          <c:dLbls>
            <c:dLbl>
              <c:idx val="0"/>
              <c:layout>
                <c:manualLayout>
                  <c:x val="-2.5687946873342144E-4"/>
                  <c:y val="-5.5060560718395823E-2"/>
                </c:manualLayout>
              </c:layout>
              <c:dLblPos val="r"/>
              <c:showVal val="1"/>
            </c:dLbl>
            <c:dLbl>
              <c:idx val="1"/>
              <c:layout>
                <c:manualLayout>
                  <c:x val="-2.905419439588483E-2"/>
                  <c:y val="-5.8894588270333594E-2"/>
                </c:manualLayout>
              </c:layout>
              <c:dLblPos val="r"/>
              <c:showVal val="1"/>
            </c:dLbl>
            <c:dLbl>
              <c:idx val="2"/>
              <c:layout>
                <c:manualLayout>
                  <c:x val="-2.9901198764030291E-2"/>
                  <c:y val="-5.8584757631203507E-2"/>
                </c:manualLayout>
              </c:layout>
              <c:dLblPos val="r"/>
              <c:showVal val="1"/>
            </c:dLbl>
            <c:dLbl>
              <c:idx val="3"/>
              <c:layout>
                <c:manualLayout>
                  <c:x val="-2.9195247324892155E-2"/>
                  <c:y val="-5.8275039227731126E-2"/>
                </c:manualLayout>
              </c:layout>
              <c:dLblPos val="r"/>
              <c:showVal val="1"/>
            </c:dLbl>
            <c:dLbl>
              <c:idx val="4"/>
              <c:layout>
                <c:manualLayout>
                  <c:x val="-2.3831071568813735E-2"/>
                  <c:y val="-7.332234518870373E-2"/>
                </c:manualLayout>
              </c:layout>
              <c:dLblPos val="r"/>
              <c:showVal val="1"/>
            </c:dLbl>
            <c:dLbl>
              <c:idx val="5"/>
              <c:layout>
                <c:manualLayout>
                  <c:x val="-2.7783665999070836E-2"/>
                  <c:y val="-6.3020100037557869E-2"/>
                </c:manualLayout>
              </c:layout>
              <c:dLblPos val="r"/>
              <c:showVal val="1"/>
            </c:dLbl>
            <c:dLbl>
              <c:idx val="6"/>
              <c:layout>
                <c:manualLayout>
                  <c:x val="-3.0183465398271991E-2"/>
                  <c:y val="0"/>
                </c:manualLayout>
              </c:layout>
              <c:dLblPos val="r"/>
              <c:showVal val="1"/>
            </c:dLbl>
            <c:dLbl>
              <c:idx val="7"/>
              <c:layout>
                <c:manualLayout>
                  <c:x val="-2.9477674735361399E-2"/>
                  <c:y val="0"/>
                </c:manualLayout>
              </c:layout>
              <c:dLblPos val="r"/>
              <c:showVal val="1"/>
            </c:dLbl>
            <c:dLbl>
              <c:idx val="8"/>
              <c:layout>
                <c:manualLayout>
                  <c:x val="-3.0324679103506669E-2"/>
                  <c:y val="0"/>
                </c:manualLayout>
              </c:layout>
              <c:dLblPos val="r"/>
              <c:showVal val="1"/>
            </c:dLbl>
            <c:dLbl>
              <c:idx val="9"/>
              <c:layout>
                <c:manualLayout>
                  <c:x val="-2.8065932633312595E-2"/>
                  <c:y val="0"/>
                </c:manualLayout>
              </c:layout>
              <c:dLblPos val="r"/>
              <c:showVal val="1"/>
            </c:dLbl>
            <c:dLbl>
              <c:idx val="10"/>
              <c:layout>
                <c:manualLayout>
                  <c:x val="-3.5124117125681295E-2"/>
                  <c:y val="0"/>
                </c:manualLayout>
              </c:layout>
              <c:dLblPos val="r"/>
              <c:showVal val="1"/>
            </c:dLbl>
            <c:dLbl>
              <c:idx val="11"/>
              <c:layout>
                <c:manualLayout>
                  <c:x val="-6.2368637021777383E-2"/>
                  <c:y val="0"/>
                </c:manualLayout>
              </c:layout>
              <c:dLblPos val="r"/>
              <c:showVal val="1"/>
            </c:dLbl>
            <c:spPr>
              <a:noFill/>
              <a:ln w="25363">
                <a:noFill/>
              </a:ln>
            </c:spPr>
            <c:txPr>
              <a:bodyPr/>
              <a:lstStyle/>
              <a:p>
                <a:pPr>
                  <a:defRPr lang="uk-UA" sz="899" b="0" i="0" u="none" strike="noStrike" baseline="0">
                    <a:solidFill>
                      <a:srgbClr val="000000"/>
                    </a:solidFill>
                    <a:latin typeface="calibri"/>
                    <a:ea typeface="calibri"/>
                    <a:cs typeface="calibri"/>
                  </a:defRPr>
                </a:pPr>
                <a:endParaRPr lang="ru-RU"/>
              </a:p>
            </c:txPr>
            <c:showVal val="1"/>
          </c:dLbls>
          <c:val>
            <c:numRef>
              <c:f>Лист1!$B$2:$B$13</c:f>
              <c:numCache>
                <c:formatCode>General</c:formatCode>
                <c:ptCount val="12"/>
                <c:pt idx="0">
                  <c:v>9292</c:v>
                </c:pt>
                <c:pt idx="1">
                  <c:v>9832</c:v>
                </c:pt>
                <c:pt idx="2">
                  <c:v>11010</c:v>
                </c:pt>
                <c:pt idx="3">
                  <c:v>10788</c:v>
                </c:pt>
                <c:pt idx="4">
                  <c:v>10558</c:v>
                </c:pt>
                <c:pt idx="5">
                  <c:v>11091</c:v>
                </c:pt>
              </c:numCache>
            </c:numRef>
          </c:val>
        </c:ser>
        <c:dLbls>
          <c:showVal val="1"/>
        </c:dLbls>
        <c:marker val="1"/>
        <c:axId val="84609664"/>
        <c:axId val="84668800"/>
      </c:lineChart>
      <c:catAx>
        <c:axId val="84609664"/>
        <c:scaling>
          <c:orientation val="minMax"/>
        </c:scaling>
        <c:axPos val="b"/>
        <c:numFmt formatCode="General" sourceLinked="1"/>
        <c:tickLblPos val="nextTo"/>
        <c:spPr>
          <a:ln w="3170">
            <a:solidFill>
              <a:srgbClr val="000000"/>
            </a:solidFill>
            <a:prstDash val="solid"/>
          </a:ln>
        </c:spPr>
        <c:txPr>
          <a:bodyPr rot="-2700000" vert="horz"/>
          <a:lstStyle/>
          <a:p>
            <a:pPr>
              <a:defRPr lang="uk-UA" sz="899" b="0" i="0" u="none" strike="noStrike" baseline="0">
                <a:solidFill>
                  <a:srgbClr val="000000"/>
                </a:solidFill>
                <a:latin typeface="calibri"/>
                <a:ea typeface="calibri"/>
                <a:cs typeface="calibri"/>
              </a:defRPr>
            </a:pPr>
            <a:endParaRPr lang="ru-RU"/>
          </a:p>
        </c:txPr>
        <c:crossAx val="84668800"/>
        <c:crossesAt val="1500"/>
        <c:auto val="1"/>
        <c:lblAlgn val="ctr"/>
        <c:lblOffset val="100"/>
        <c:tickLblSkip val="1"/>
        <c:tickMarkSkip val="1"/>
      </c:catAx>
      <c:valAx>
        <c:axId val="84668800"/>
        <c:scaling>
          <c:orientation val="minMax"/>
          <c:max val="12000"/>
          <c:min val="5000"/>
        </c:scaling>
        <c:axPos val="l"/>
        <c:title>
          <c:tx>
            <c:rich>
              <a:bodyPr rot="0" vert="horz"/>
              <a:lstStyle/>
              <a:p>
                <a:pPr algn="ctr">
                  <a:defRPr lang="uk-UA" sz="899" b="0" i="0" u="none" strike="noStrike" baseline="0">
                    <a:solidFill>
                      <a:srgbClr val="000000"/>
                    </a:solidFill>
                    <a:latin typeface="calibri"/>
                    <a:ea typeface="calibri"/>
                    <a:cs typeface="calibri"/>
                  </a:defRPr>
                </a:pPr>
                <a:r>
                  <a:rPr lang="uk-UA"/>
                  <a:t>грн</a:t>
                </a:r>
              </a:p>
            </c:rich>
          </c:tx>
          <c:layout>
            <c:manualLayout>
              <c:xMode val="edge"/>
              <c:yMode val="edge"/>
              <c:x val="7.7639751552795122E-2"/>
              <c:y val="0"/>
            </c:manualLayout>
          </c:layout>
          <c:spPr>
            <a:noFill/>
            <a:ln w="25363">
              <a:noFill/>
            </a:ln>
          </c:spPr>
        </c:title>
        <c:numFmt formatCode="0" sourceLinked="0"/>
        <c:tickLblPos val="nextTo"/>
        <c:spPr>
          <a:ln w="3170">
            <a:solidFill>
              <a:srgbClr val="000000"/>
            </a:solidFill>
            <a:prstDash val="solid"/>
          </a:ln>
        </c:spPr>
        <c:txPr>
          <a:bodyPr rot="0" vert="horz"/>
          <a:lstStyle/>
          <a:p>
            <a:pPr>
              <a:defRPr lang="uk-UA" sz="899" b="0" i="0" u="none" strike="noStrike" baseline="0">
                <a:solidFill>
                  <a:srgbClr val="000000"/>
                </a:solidFill>
                <a:latin typeface="Calibri"/>
                <a:ea typeface="Calibri"/>
                <a:cs typeface="Calibri"/>
              </a:defRPr>
            </a:pPr>
            <a:endParaRPr lang="ru-RU"/>
          </a:p>
        </c:txPr>
        <c:crossAx val="84609664"/>
        <c:crosses val="autoZero"/>
        <c:crossBetween val="midCat"/>
        <c:majorUnit val="1000"/>
        <c:minorUnit val="1000"/>
      </c:valAx>
      <c:spPr>
        <a:solidFill>
          <a:srgbClr val="FFFFFF"/>
        </a:solidFill>
        <a:ln w="25363">
          <a:noFill/>
        </a:ln>
      </c:spPr>
    </c:plotArea>
    <c:legend>
      <c:legendPos val="b"/>
      <c:layout>
        <c:manualLayout>
          <c:xMode val="edge"/>
          <c:yMode val="edge"/>
          <c:x val="0.39440993788819956"/>
          <c:y val="0.92647058823529416"/>
          <c:w val="0.25621118012422361"/>
          <c:h val="7.3529411764705899E-2"/>
        </c:manualLayout>
      </c:layout>
      <c:spPr>
        <a:solidFill>
          <a:srgbClr val="FFFFFF"/>
        </a:solidFill>
        <a:ln w="3170">
          <a:solidFill>
            <a:srgbClr val="000000"/>
          </a:solidFill>
          <a:prstDash val="solid"/>
        </a:ln>
      </c:spPr>
      <c:txPr>
        <a:bodyPr/>
        <a:lstStyle/>
        <a:p>
          <a:pPr>
            <a:defRPr lang="uk-UA" sz="824" b="0" i="0" u="none" strike="noStrike" baseline="0">
              <a:solidFill>
                <a:srgbClr val="000000"/>
              </a:solidFill>
              <a:latin typeface="calibri"/>
              <a:ea typeface="calibri"/>
              <a:cs typeface="calibri"/>
            </a:defRPr>
          </a:pPr>
          <a:endParaRPr lang="ru-RU"/>
        </a:p>
      </c:txPr>
    </c:legend>
    <c:plotVisOnly val="1"/>
    <c:dispBlanksAs val="gap"/>
  </c:chart>
  <c:spPr>
    <a:solidFill>
      <a:srgbClr val="FFFFFF"/>
    </a:solidFill>
    <a:ln>
      <a:noFill/>
    </a:ln>
  </c:spPr>
  <c:txPr>
    <a:bodyPr/>
    <a:lstStyle/>
    <a:p>
      <a:pPr>
        <a:defRPr sz="799" b="0" i="0" u="none" strike="noStrike" baseline="0">
          <a:solidFill>
            <a:srgbClr val="000000"/>
          </a:solidFill>
          <a:latin typeface="Arial"/>
          <a:ea typeface="Arial"/>
          <a:cs typeface="Arial"/>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0.49725</cdr:x>
      <cdr:y>0.4865</cdr:y>
    </cdr:from>
    <cdr:to>
      <cdr:x>0.5095</cdr:x>
      <cdr:y>0.54175</cdr:y>
    </cdr:to>
    <cdr:sp macro="" textlink="">
      <cdr:nvSpPr>
        <cdr:cNvPr id="21506" name="Text Box 2"/>
        <cdr:cNvSpPr txBox="1">
          <a:spLocks xmlns:a="http://schemas.openxmlformats.org/drawingml/2006/main" noChangeArrowheads="1"/>
        </cdr:cNvSpPr>
      </cdr:nvSpPr>
      <cdr:spPr bwMode="auto">
        <a:xfrm xmlns:a="http://schemas.openxmlformats.org/drawingml/2006/main">
          <a:off x="3050181" y="1260424"/>
          <a:ext cx="75143" cy="14314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uk-UA" sz="80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drda10460042</dc:creator>
  <cp:lastModifiedBy>1111</cp:lastModifiedBy>
  <cp:revision>2</cp:revision>
  <cp:lastPrinted>2017-09-05T07:38:00Z</cp:lastPrinted>
  <dcterms:created xsi:type="dcterms:W3CDTF">2017-09-11T13:08:00Z</dcterms:created>
  <dcterms:modified xsi:type="dcterms:W3CDTF">2017-09-11T13:08:00Z</dcterms:modified>
</cp:coreProperties>
</file>