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27" w:rsidRDefault="00095827" w:rsidP="0009582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5827" w:rsidRDefault="00095827" w:rsidP="000958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апаратній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37556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95827" w:rsidRDefault="00095827" w:rsidP="000958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стан </w:t>
      </w:r>
      <w:proofErr w:type="spellStart"/>
      <w:r>
        <w:rPr>
          <w:rFonts w:ascii="Times New Roman" w:hAnsi="Times New Roman"/>
          <w:sz w:val="28"/>
          <w:szCs w:val="28"/>
        </w:rPr>
        <w:t>виконавської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ідрозділах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5827" w:rsidRDefault="00095827" w:rsidP="0009582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районних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службах</w:t>
      </w:r>
      <w:proofErr w:type="gramEnd"/>
    </w:p>
    <w:p w:rsidR="00095827" w:rsidRDefault="00095827" w:rsidP="0009582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ідсумками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кварталу 2015 року та за 2015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</w:p>
    <w:p w:rsidR="00095827" w:rsidRDefault="00095827" w:rsidP="000958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5827" w:rsidRDefault="00095827" w:rsidP="0009582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95827" w:rsidRDefault="00095827" w:rsidP="000958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Регламенту </w:t>
      </w:r>
      <w:proofErr w:type="spellStart"/>
      <w:r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проаналізовано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 </w:t>
      </w:r>
      <w:proofErr w:type="spellStart"/>
      <w:r>
        <w:rPr>
          <w:rFonts w:ascii="Times New Roman" w:hAnsi="Times New Roman"/>
          <w:sz w:val="28"/>
          <w:szCs w:val="28"/>
        </w:rPr>
        <w:t>виконавської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структурних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ідрозділах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службах 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комунальних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95827" w:rsidRDefault="00095827" w:rsidP="000958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  <w:t>За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квартал 2015 року </w:t>
      </w:r>
      <w:r>
        <w:rPr>
          <w:rFonts w:ascii="Times New Roman" w:hAnsi="Times New Roman"/>
          <w:sz w:val="28"/>
          <w:szCs w:val="28"/>
          <w:lang w:val="uk-UA"/>
        </w:rPr>
        <w:t xml:space="preserve">через відділ організації діловодства апарату райдержадміністрації  </w:t>
      </w:r>
      <w:proofErr w:type="spellStart"/>
      <w:r>
        <w:rPr>
          <w:rFonts w:ascii="Times New Roman" w:hAnsi="Times New Roman"/>
          <w:sz w:val="28"/>
          <w:szCs w:val="28"/>
        </w:rPr>
        <w:t>надійшло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3485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в, за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ік їх кількість  становила 13804. За аналогічний період минулого року кількість вхідної кореспонденції становила -  3148 за квартал та 10642 за рік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направлено до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для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1300 документів за квартал та 5753 за  2015 рік.  В 2014 році  - 1256 за квартал та 3950 за рік.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827" w:rsidRDefault="00095827" w:rsidP="000958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Співвідношення загальної кількості вхідної кореспонденції</w:t>
      </w:r>
    </w:p>
    <w:p w:rsidR="00095827" w:rsidRDefault="00095827" w:rsidP="000958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та контрольних доручень</w:t>
      </w:r>
    </w:p>
    <w:p w:rsidR="00095827" w:rsidRDefault="00095827" w:rsidP="000958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5827" w:rsidRDefault="00095827" w:rsidP="00095827">
      <w:pPr>
        <w:spacing w:after="0" w:line="360" w:lineRule="auto"/>
        <w:ind w:firstLine="708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080635" cy="2695575"/>
            <wp:effectExtent l="0" t="0" r="0" b="0"/>
            <wp:docPr id="1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Протягом звітного періоду всіма структурними підрозділами адміністрації  було направлено 6099 одиниць вихідної кореспонденції на виконання контрольних доручень, при загальній кількості зареєстрованої вихідної кореспонденції за рік 13003. За квартал – 3287 вихідних, з них на контрольні доручення – 1573.  У 2014 році ці показники були на рівні 10500 вих. за рік, з них 4362 на виконання контр. доручень, а також 3165 вих. за квартал, з них 1276 на виконання контр. доручень.</w:t>
      </w:r>
    </w:p>
    <w:p w:rsidR="00095827" w:rsidRDefault="00095827" w:rsidP="000958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Співвідношення загальної кількості вихідної кореспонденції та на виконання контрольних доручень</w:t>
      </w:r>
    </w:p>
    <w:p w:rsidR="00095827" w:rsidRDefault="00095827" w:rsidP="000958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128895" cy="2846705"/>
            <wp:effectExtent l="0" t="0" r="0" b="0"/>
            <wp:docPr id="2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звітний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239 </w:t>
      </w: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визначено було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proofErr w:type="spellEnd"/>
      <w:r>
        <w:rPr>
          <w:rFonts w:ascii="Times New Roman" w:hAnsi="Times New Roman"/>
          <w:sz w:val="28"/>
          <w:szCs w:val="28"/>
        </w:rPr>
        <w:t xml:space="preserve"> – 4</w:t>
      </w:r>
      <w:r>
        <w:rPr>
          <w:rFonts w:ascii="Times New Roman" w:hAnsi="Times New Roman"/>
          <w:sz w:val="28"/>
          <w:szCs w:val="28"/>
          <w:lang w:val="uk-UA"/>
        </w:rPr>
        <w:t>8 розпоряджень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За 2015 рік було зареєстровано 842 розпорядження, з них контрольні – 161. </w:t>
      </w:r>
      <w:r>
        <w:rPr>
          <w:rFonts w:ascii="Times New Roman" w:hAnsi="Times New Roman"/>
          <w:sz w:val="28"/>
          <w:szCs w:val="28"/>
        </w:rPr>
        <w:t xml:space="preserve">На контроль ставились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адрес,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направлялись на </w:t>
      </w:r>
      <w:proofErr w:type="spellStart"/>
      <w:r>
        <w:rPr>
          <w:rFonts w:ascii="Times New Roman" w:hAnsi="Times New Roman"/>
          <w:sz w:val="28"/>
          <w:szCs w:val="28"/>
        </w:rPr>
        <w:t>тимчасове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розмістити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РДА та </w:t>
      </w:r>
      <w:r>
        <w:rPr>
          <w:rFonts w:ascii="Times New Roman" w:hAnsi="Times New Roman"/>
          <w:sz w:val="28"/>
          <w:szCs w:val="28"/>
          <w:lang w:val="uk-UA"/>
        </w:rPr>
        <w:t xml:space="preserve">ті,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конкретні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терміни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КМДА та 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МГ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238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/>
          <w:sz w:val="28"/>
          <w:szCs w:val="28"/>
        </w:rPr>
        <w:t>контрольних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54</w:t>
      </w:r>
      <w:r>
        <w:rPr>
          <w:rFonts w:ascii="Times New Roman" w:hAnsi="Times New Roman"/>
          <w:sz w:val="28"/>
          <w:szCs w:val="28"/>
        </w:rPr>
        <w:t>.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Окремо слід відзначити роботу над  протоколами районних та робочих нарад а також рішень колегій Дарницької РДА. </w:t>
      </w:r>
      <w:proofErr w:type="spellStart"/>
      <w:r>
        <w:rPr>
          <w:rFonts w:ascii="Times New Roman" w:hAnsi="Times New Roman"/>
          <w:sz w:val="28"/>
          <w:szCs w:val="28"/>
        </w:rPr>
        <w:t>Протоколи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нарад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колегій</w:t>
      </w:r>
      <w:proofErr w:type="spellEnd"/>
      <w:r>
        <w:rPr>
          <w:rFonts w:ascii="Times New Roman" w:hAnsi="Times New Roman"/>
          <w:sz w:val="28"/>
          <w:szCs w:val="28"/>
        </w:rPr>
        <w:t xml:space="preserve">  направлялись </w:t>
      </w:r>
      <w:proofErr w:type="spellStart"/>
      <w:r>
        <w:rPr>
          <w:rFonts w:ascii="Times New Roman" w:hAnsi="Times New Roman"/>
          <w:sz w:val="28"/>
          <w:szCs w:val="28"/>
        </w:rPr>
        <w:t>виконавцям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систему </w:t>
      </w:r>
      <w:proofErr w:type="spellStart"/>
      <w:r>
        <w:rPr>
          <w:rFonts w:ascii="Times New Roman" w:hAnsi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документообігу</w:t>
      </w:r>
      <w:proofErr w:type="spellEnd"/>
      <w:r>
        <w:rPr>
          <w:rFonts w:ascii="Times New Roman" w:hAnsi="Times New Roman"/>
          <w:sz w:val="28"/>
          <w:szCs w:val="28"/>
        </w:rPr>
        <w:t xml:space="preserve"> АСКОД для </w:t>
      </w:r>
      <w:proofErr w:type="spellStart"/>
      <w:r>
        <w:rPr>
          <w:rFonts w:ascii="Times New Roman" w:hAnsi="Times New Roman"/>
          <w:sz w:val="28"/>
          <w:szCs w:val="28"/>
        </w:rPr>
        <w:t>опрацювання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 кварталу проведено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нарад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них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5 - </w:t>
      </w:r>
      <w:proofErr w:type="spellStart"/>
      <w:r>
        <w:rPr>
          <w:rFonts w:ascii="Times New Roman" w:hAnsi="Times New Roman"/>
          <w:b/>
          <w:sz w:val="28"/>
          <w:szCs w:val="28"/>
        </w:rPr>
        <w:t>апаратні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наради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та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колегії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Дарницької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РДА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Напрацьовано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174  протокольних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доручень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За 2015 рік проведено 48 нарад (з них 20 – апаратних) та 10 засідань колегій. Напрацьовано 637 пунктів доручень. (483 пункти за 2014 рік). Кожен протокол зберігається в окремо сформованій папці разом з наданими письмовими інформаціями про виконання;  ведеться окремо облік кількості протоколів та наданих протокольних доручень. 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Запити на інформацію (в т.ч. запити ЗМІ). </w:t>
      </w:r>
      <w:r>
        <w:rPr>
          <w:rFonts w:ascii="Times New Roman" w:hAnsi="Times New Roman"/>
          <w:sz w:val="28"/>
          <w:szCs w:val="28"/>
          <w:lang w:val="uk-UA"/>
        </w:rPr>
        <w:t>За період  з 01.01.2015 до 01.09.2015 року до відділу контролю  було направлено 102 інформаційних запити. З вересня 2015 року облік та контроль за їх виконанням як від юридичних, так і від фізичних осіб  ведеться у відділі організації діловодства. За 2015 рік їх кількість становила 312 запитів. За 2014 рік було надано інформацію на 111 запитів , які надходили з КМДА, від громадських організацій та ін. юридичних осіб.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Запити та звернення прокуратури міста і району </w:t>
      </w:r>
      <w:r>
        <w:rPr>
          <w:rFonts w:ascii="Times New Roman" w:hAnsi="Times New Roman"/>
          <w:sz w:val="28"/>
          <w:szCs w:val="28"/>
          <w:lang w:val="uk-UA"/>
        </w:rPr>
        <w:t>за рік - 85</w:t>
      </w:r>
    </w:p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2015 рік було опрацьовано найбільшу кількість </w:t>
      </w:r>
      <w:r>
        <w:rPr>
          <w:rFonts w:ascii="Times New Roman" w:hAnsi="Times New Roman"/>
          <w:b/>
          <w:sz w:val="28"/>
          <w:szCs w:val="28"/>
          <w:lang w:val="uk-UA"/>
        </w:rPr>
        <w:t>депутатських запитів та звернень</w:t>
      </w:r>
      <w:r>
        <w:rPr>
          <w:rFonts w:ascii="Times New Roman" w:hAnsi="Times New Roman"/>
          <w:sz w:val="28"/>
          <w:szCs w:val="28"/>
          <w:lang w:val="uk-UA"/>
        </w:rPr>
        <w:t xml:space="preserve"> у порівнянні з минулими роками.</w:t>
      </w:r>
    </w:p>
    <w:tbl>
      <w:tblPr>
        <w:tblStyle w:val="a3"/>
        <w:tblW w:w="0" w:type="auto"/>
        <w:tblLook w:val="04A0"/>
      </w:tblPr>
      <w:tblGrid>
        <w:gridCol w:w="1951"/>
        <w:gridCol w:w="851"/>
        <w:gridCol w:w="992"/>
        <w:gridCol w:w="1134"/>
        <w:gridCol w:w="1134"/>
        <w:gridCol w:w="1134"/>
        <w:gridCol w:w="1134"/>
        <w:gridCol w:w="1241"/>
      </w:tblGrid>
      <w:tr w:rsidR="00095827" w:rsidTr="000958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7" w:rsidRDefault="00095827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ІІ </w:t>
            </w:r>
            <w:proofErr w:type="spellStart"/>
            <w:r>
              <w:rPr>
                <w:b/>
                <w:lang w:val="uk-UA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ІІІ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 xml:space="preserve"> к</w:t>
            </w:r>
            <w:r>
              <w:rPr>
                <w:b/>
                <w:lang w:val="en-US"/>
              </w:rPr>
              <w:t>в</w:t>
            </w:r>
            <w:r>
              <w:rPr>
                <w:b/>
                <w:lang w:val="uk-UA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2015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lang w:val="uk-UA"/>
              </w:rPr>
              <w:t>2014 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різниця</w:t>
            </w:r>
          </w:p>
        </w:tc>
      </w:tr>
      <w:tr w:rsidR="00095827" w:rsidTr="000958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Депутати ВРУ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+ 85</w:t>
            </w:r>
          </w:p>
        </w:tc>
      </w:tr>
      <w:tr w:rsidR="00095827" w:rsidTr="000958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Депутати КМР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212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+ 1198</w:t>
            </w:r>
          </w:p>
        </w:tc>
      </w:tr>
    </w:tbl>
    <w:p w:rsidR="00095827" w:rsidRDefault="00095827" w:rsidP="000958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Робота над підготовкою відповідей на депутатські запити та звернення теж суттєво відрізнялася. Значна частина відповідей депутатам готувалась за підписом Київського міського голови або його заступників. Найбільшу кількість відповідей було підготовлено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«Керуюча компанія з обслуговування житлового фонду Дарницького району». У ІV кварталі  інформація на депутатські запити та звернення, які надходили з КМДА, надавалась без порушення термінів виконання. Мали місце порушення в наданні інформації на звернення депутатів КМР, які надходили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безпосередньо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голови РДА. На виконанні ці звернення були в Управлінні житлово-комунального господарства,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УКБ».</w:t>
      </w:r>
    </w:p>
    <w:p w:rsidR="00095827" w:rsidRDefault="00095827" w:rsidP="000958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Аналіз виконання контрольних документів</w:t>
      </w:r>
    </w:p>
    <w:tbl>
      <w:tblPr>
        <w:tblStyle w:val="a3"/>
        <w:tblW w:w="0" w:type="auto"/>
        <w:tblInd w:w="-885" w:type="dxa"/>
        <w:tblLook w:val="04A0"/>
      </w:tblPr>
      <w:tblGrid>
        <w:gridCol w:w="3313"/>
        <w:gridCol w:w="1206"/>
        <w:gridCol w:w="1206"/>
        <w:gridCol w:w="1206"/>
        <w:gridCol w:w="1110"/>
        <w:gridCol w:w="1110"/>
        <w:gridCol w:w="1110"/>
      </w:tblGrid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 І кв. 2015 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 ІІ кв. 2015 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 ІІІ кв. 2015 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uk-UA"/>
              </w:rPr>
              <w:t xml:space="preserve"> кв. 2015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 2015 рік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% виконання в строк 2014 рік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Віддділ</w:t>
            </w:r>
            <w:proofErr w:type="spellEnd"/>
            <w:r>
              <w:rPr>
                <w:lang w:val="uk-UA"/>
              </w:rPr>
              <w:t xml:space="preserve"> внутрішньої політики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60.00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Юридичний відділ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75.4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Позняки</w:t>
            </w:r>
            <w:proofErr w:type="spellEnd"/>
            <w:r>
              <w:rPr>
                <w:lang w:val="uk-UA"/>
              </w:rPr>
              <w:t xml:space="preserve"> УКБ»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88.57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83.04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«ШЕУ»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пит.. </w:t>
            </w:r>
            <w:proofErr w:type="spellStart"/>
            <w:r>
              <w:rPr>
                <w:lang w:val="uk-UA"/>
              </w:rPr>
              <w:t>надзв</w:t>
            </w:r>
            <w:proofErr w:type="spellEnd"/>
            <w:r>
              <w:rPr>
                <w:lang w:val="uk-UA"/>
              </w:rPr>
              <w:t>. ситуацій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82.7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охорони </w:t>
            </w:r>
            <w:proofErr w:type="spellStart"/>
            <w:r>
              <w:rPr>
                <w:lang w:val="uk-UA"/>
              </w:rPr>
              <w:t>здоров»я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68.4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65.2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«УЗН»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72.41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надання </w:t>
            </w:r>
            <w:proofErr w:type="spellStart"/>
            <w:r>
              <w:rPr>
                <w:lang w:val="uk-UA"/>
              </w:rPr>
              <w:t>адмінпослуг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з питань майна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93.8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Фінансове управління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81.9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62.9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>.  капітального будівництва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78.7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81.9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з пит.. кадрової роботи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83.1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Сектор з пит.. </w:t>
            </w:r>
            <w:proofErr w:type="spellStart"/>
            <w:r>
              <w:rPr>
                <w:lang w:val="uk-UA"/>
              </w:rPr>
              <w:t>запоб</w:t>
            </w:r>
            <w:proofErr w:type="spellEnd"/>
            <w:r>
              <w:rPr>
                <w:lang w:val="uk-UA"/>
              </w:rPr>
              <w:t>.. корупції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культури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84.0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сім»ї</w:t>
            </w:r>
            <w:proofErr w:type="spellEnd"/>
            <w:r>
              <w:rPr>
                <w:lang w:val="uk-UA"/>
              </w:rPr>
              <w:t>, молоді та спорту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78.4                                                                          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83.1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контролю за </w:t>
            </w:r>
            <w:proofErr w:type="spellStart"/>
            <w:r>
              <w:rPr>
                <w:lang w:val="uk-UA"/>
              </w:rPr>
              <w:t>благоустр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92.72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72.5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обліку житлової  площі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94.1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Сектор з пит.. </w:t>
            </w: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>. роботи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праці та </w:t>
            </w:r>
            <w:proofErr w:type="spellStart"/>
            <w:r>
              <w:rPr>
                <w:lang w:val="uk-UA"/>
              </w:rPr>
              <w:t>соціальн</w:t>
            </w:r>
            <w:proofErr w:type="spellEnd"/>
            <w:r>
              <w:rPr>
                <w:lang w:val="uk-UA"/>
              </w:rPr>
              <w:t>. захисту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82.6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93.62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73.2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торгівлі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94.3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89.9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77.9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роботи із </w:t>
            </w:r>
            <w:proofErr w:type="spellStart"/>
            <w:r>
              <w:rPr>
                <w:lang w:val="uk-UA"/>
              </w:rPr>
              <w:t>зверн</w:t>
            </w:r>
            <w:proofErr w:type="spellEnd"/>
            <w:r>
              <w:rPr>
                <w:lang w:val="uk-UA"/>
              </w:rPr>
              <w:t>. громадян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66.7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89.7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КП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«Керуюча компанія з обслуговування житлового фонду </w:t>
            </w:r>
            <w:proofErr w:type="spellStart"/>
            <w:r>
              <w:rPr>
                <w:sz w:val="16"/>
                <w:szCs w:val="16"/>
                <w:lang w:val="uk-UA"/>
              </w:rPr>
              <w:t>Дарн</w:t>
            </w:r>
            <w:proofErr w:type="spellEnd"/>
            <w:r>
              <w:rPr>
                <w:sz w:val="16"/>
                <w:szCs w:val="16"/>
                <w:lang w:val="uk-UA"/>
              </w:rPr>
              <w:t>. р-ну»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93.2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90.83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економіки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98.9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99.72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97.4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 ЖКГ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87.6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82.92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65.2</w:t>
            </w:r>
          </w:p>
        </w:tc>
      </w:tr>
      <w:tr w:rsidR="00095827" w:rsidTr="00095827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 по всіх виконавцях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79.4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94.9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91.85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27" w:rsidRDefault="00095827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77.49</w:t>
            </w:r>
          </w:p>
        </w:tc>
      </w:tr>
    </w:tbl>
    <w:p w:rsidR="00095827" w:rsidRDefault="00095827" w:rsidP="00095827">
      <w:pPr>
        <w:rPr>
          <w:lang w:val="uk-UA"/>
        </w:rPr>
      </w:pPr>
    </w:p>
    <w:p w:rsidR="00095827" w:rsidRDefault="00095827" w:rsidP="000958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Працівниками відділу контролю щосереди надавались нагадування  виконавцям, про документи, які необхідно закрити до кінця тижня. Щочетверга готувались переліки  контрольних доручень для профільних заступників про кількість  документів, які підлягають виконанню в підпорядкованих структурних підрозділах.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Щоп»ятниці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голові РДА надавався перелік доручень, які не були виконані виконавцями. Про результати проведеної роботи говорить попередньо наведена таблиця.</w:t>
      </w:r>
    </w:p>
    <w:p w:rsidR="00095827" w:rsidRDefault="00095827" w:rsidP="000958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Найбільше навантаження мали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 з обслуговування житлового фонду Дарницького р-ну», УЖКГ, відділ контролю за благоустроєм,  управління капітального будівництва, відділ торгівлі, відділ внутрішньої політики,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соц.захисту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відділ комунального майна, управління фінансів.</w:t>
      </w:r>
    </w:p>
    <w:p w:rsidR="00095827" w:rsidRDefault="00095827" w:rsidP="00095827">
      <w:pPr>
        <w:rPr>
          <w:lang w:val="uk-UA"/>
        </w:rPr>
      </w:pPr>
      <w:r>
        <w:rPr>
          <w:noProof/>
        </w:rPr>
        <w:drawing>
          <wp:inline distT="0" distB="0" distL="0" distR="0">
            <wp:extent cx="5518150" cy="3856355"/>
            <wp:effectExtent l="0" t="0" r="0" b="0"/>
            <wp:docPr id="3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5827" w:rsidRDefault="00095827" w:rsidP="000958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Прохання до всіх виконавців надавати інформацію у встановлені терміни не тільки на ті документи, які  направляються в КМДА  та ін. установи та організації, а й на  протокольні  доручення районних  нарад.  </w:t>
      </w:r>
    </w:p>
    <w:p w:rsidR="00095827" w:rsidRDefault="00095827" w:rsidP="000958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Це стосується і доручень з  візою голови РДА «Інформувати». Поінформувати про  стан справ з порушеного питання необхідно не пізніше, ніж за 5 днів.</w:t>
      </w:r>
    </w:p>
    <w:p w:rsidR="00095827" w:rsidRDefault="00095827" w:rsidP="000958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Ще раз нагадуємо про існування Інструкції з діловодства, особливу увагу звернути на п. 183. Якщо   хтось  не погоджується  з резолюцією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стосовно  відповідального виконавця, змінити резолюцію можна не пізніше одного робочого дня.  І ще прохання повідомляти про  проведені «маневри» з резолюціями. Працівники відділу контролю не в змозі відслідковувати, хто в останній момент тихо переписав на кого резолюцію. </w:t>
      </w: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Видиборець</w:t>
      </w:r>
      <w:proofErr w:type="spellEnd"/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Лелюк</w:t>
      </w:r>
      <w:proofErr w:type="spellEnd"/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827" w:rsidRDefault="00095827" w:rsidP="0009582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827" w:rsidSect="0023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F68"/>
    <w:multiLevelType w:val="hybridMultilevel"/>
    <w:tmpl w:val="562EBB86"/>
    <w:lvl w:ilvl="0" w:tplc="DF9E593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5827"/>
    <w:rsid w:val="00000A86"/>
    <w:rsid w:val="00095827"/>
    <w:rsid w:val="001E4870"/>
    <w:rsid w:val="00236E8E"/>
    <w:rsid w:val="003F2950"/>
    <w:rsid w:val="00637556"/>
    <w:rsid w:val="0078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року</c:v>
                </c:pt>
                <c:pt idx="3">
                  <c:v>4-й кв. 2014 року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13804</c:v>
                </c:pt>
                <c:pt idx="1">
                  <c:v>10642</c:v>
                </c:pt>
                <c:pt idx="2">
                  <c:v>3485</c:v>
                </c:pt>
                <c:pt idx="3">
                  <c:v>3148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року</c:v>
                </c:pt>
                <c:pt idx="3">
                  <c:v>4-й кв. 2014 року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5753</c:v>
                </c:pt>
                <c:pt idx="1">
                  <c:v>3950</c:v>
                </c:pt>
                <c:pt idx="2">
                  <c:v>1300</c:v>
                </c:pt>
                <c:pt idx="3">
                  <c:v>1256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року</c:v>
                </c:pt>
                <c:pt idx="3">
                  <c:v>4-й кв. 2014 року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</c:ser>
        <c:axId val="101049472"/>
        <c:axId val="101051008"/>
      </c:barChart>
      <c:catAx>
        <c:axId val="101049472"/>
        <c:scaling>
          <c:orientation val="minMax"/>
        </c:scaling>
        <c:axPos val="b"/>
        <c:tickLblPos val="nextTo"/>
        <c:crossAx val="101051008"/>
        <c:crosses val="autoZero"/>
        <c:auto val="1"/>
        <c:lblAlgn val="ctr"/>
        <c:lblOffset val="100"/>
      </c:catAx>
      <c:valAx>
        <c:axId val="101051008"/>
        <c:scaling>
          <c:orientation val="minMax"/>
        </c:scaling>
        <c:axPos val="l"/>
        <c:majorGridlines/>
        <c:numFmt formatCode="General" sourceLinked="1"/>
        <c:tickLblPos val="nextTo"/>
        <c:crossAx val="10104947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</c:v>
                </c:pt>
                <c:pt idx="3">
                  <c:v>4-й кв.2014 року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13003</c:v>
                </c:pt>
                <c:pt idx="1">
                  <c:v>10500</c:v>
                </c:pt>
                <c:pt idx="2">
                  <c:v>3287</c:v>
                </c:pt>
                <c:pt idx="3">
                  <c:v>3165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</c:v>
                </c:pt>
                <c:pt idx="3">
                  <c:v>4-й кв.2014 року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6099</c:v>
                </c:pt>
                <c:pt idx="1">
                  <c:v>4362</c:v>
                </c:pt>
                <c:pt idx="2">
                  <c:v>1573</c:v>
                </c:pt>
                <c:pt idx="3">
                  <c:v>1276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2015 рік</c:v>
                </c:pt>
                <c:pt idx="1">
                  <c:v>2014 рік</c:v>
                </c:pt>
                <c:pt idx="2">
                  <c:v>4-й кв. 2015 р</c:v>
                </c:pt>
                <c:pt idx="3">
                  <c:v>4-й кв.2014 року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</c:ser>
        <c:axId val="101761024"/>
        <c:axId val="101762560"/>
      </c:barChart>
      <c:catAx>
        <c:axId val="101761024"/>
        <c:scaling>
          <c:orientation val="minMax"/>
        </c:scaling>
        <c:axPos val="b"/>
        <c:tickLblPos val="nextTo"/>
        <c:crossAx val="101762560"/>
        <c:crosses val="autoZero"/>
        <c:auto val="1"/>
        <c:lblAlgn val="ctr"/>
        <c:lblOffset val="100"/>
      </c:catAx>
      <c:valAx>
        <c:axId val="101762560"/>
        <c:scaling>
          <c:orientation val="minMax"/>
        </c:scaling>
        <c:axPos val="l"/>
        <c:majorGridlines/>
        <c:numFmt formatCode="General" sourceLinked="1"/>
        <c:tickLblPos val="nextTo"/>
        <c:crossAx val="10176102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Аркуш1!$A$2:$A$11</c:f>
              <c:strCache>
                <c:ptCount val="10"/>
                <c:pt idx="0">
                  <c:v>КП "КК з обсл.житл. Фонду"</c:v>
                </c:pt>
                <c:pt idx="1">
                  <c:v>УЖКГ</c:v>
                </c:pt>
                <c:pt idx="2">
                  <c:v>відділ благоустрою</c:v>
                </c:pt>
                <c:pt idx="3">
                  <c:v>відділ торгівлі</c:v>
                </c:pt>
                <c:pt idx="4">
                  <c:v>управління кап. будівництва</c:v>
                </c:pt>
                <c:pt idx="5">
                  <c:v>відділ внутр.політики</c:v>
                </c:pt>
                <c:pt idx="6">
                  <c:v>управління соц.захисту</c:v>
                </c:pt>
                <c:pt idx="7">
                  <c:v>відділ комунального майна</c:v>
                </c:pt>
                <c:pt idx="8">
                  <c:v>управління фінансів</c:v>
                </c:pt>
                <c:pt idx="9">
                  <c:v>відділ економіки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1500</c:v>
                </c:pt>
                <c:pt idx="1">
                  <c:v>1544</c:v>
                </c:pt>
                <c:pt idx="2">
                  <c:v>1716</c:v>
                </c:pt>
                <c:pt idx="3">
                  <c:v>1383</c:v>
                </c:pt>
                <c:pt idx="4">
                  <c:v>764</c:v>
                </c:pt>
                <c:pt idx="5">
                  <c:v>1611</c:v>
                </c:pt>
                <c:pt idx="6">
                  <c:v>1002</c:v>
                </c:pt>
                <c:pt idx="7">
                  <c:v>2791</c:v>
                </c:pt>
                <c:pt idx="8">
                  <c:v>567</c:v>
                </c:pt>
                <c:pt idx="9">
                  <c:v>911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Аркуш1!$A$2:$A$11</c:f>
              <c:strCache>
                <c:ptCount val="10"/>
                <c:pt idx="0">
                  <c:v>КП "КК з обсл.житл. Фонду"</c:v>
                </c:pt>
                <c:pt idx="1">
                  <c:v>УЖКГ</c:v>
                </c:pt>
                <c:pt idx="2">
                  <c:v>відділ благоустрою</c:v>
                </c:pt>
                <c:pt idx="3">
                  <c:v>відділ торгівлі</c:v>
                </c:pt>
                <c:pt idx="4">
                  <c:v>управління кап. будівництва</c:v>
                </c:pt>
                <c:pt idx="5">
                  <c:v>відділ внутр.політики</c:v>
                </c:pt>
                <c:pt idx="6">
                  <c:v>управління соц.захисту</c:v>
                </c:pt>
                <c:pt idx="7">
                  <c:v>відділ комунального майна</c:v>
                </c:pt>
                <c:pt idx="8">
                  <c:v>управління фінансів</c:v>
                </c:pt>
                <c:pt idx="9">
                  <c:v>відділ економіки</c:v>
                </c:pt>
              </c:strCache>
            </c:strRef>
          </c:cat>
          <c:val>
            <c:numRef>
              <c:f>Аркуш1!$C$2:$C$11</c:f>
              <c:numCache>
                <c:formatCode>General</c:formatCode>
                <c:ptCount val="10"/>
                <c:pt idx="0">
                  <c:v>1192</c:v>
                </c:pt>
                <c:pt idx="1">
                  <c:v>579</c:v>
                </c:pt>
                <c:pt idx="2">
                  <c:v>552</c:v>
                </c:pt>
                <c:pt idx="3">
                  <c:v>129</c:v>
                </c:pt>
                <c:pt idx="4">
                  <c:v>361</c:v>
                </c:pt>
                <c:pt idx="5">
                  <c:v>324</c:v>
                </c:pt>
                <c:pt idx="6">
                  <c:v>324</c:v>
                </c:pt>
                <c:pt idx="7">
                  <c:v>223</c:v>
                </c:pt>
                <c:pt idx="8">
                  <c:v>243</c:v>
                </c:pt>
                <c:pt idx="9">
                  <c:v>150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cat>
            <c:strRef>
              <c:f>Аркуш1!$A$2:$A$11</c:f>
              <c:strCache>
                <c:ptCount val="10"/>
                <c:pt idx="0">
                  <c:v>КП "КК з обсл.житл. Фонду"</c:v>
                </c:pt>
                <c:pt idx="1">
                  <c:v>УЖКГ</c:v>
                </c:pt>
                <c:pt idx="2">
                  <c:v>відділ благоустрою</c:v>
                </c:pt>
                <c:pt idx="3">
                  <c:v>відділ торгівлі</c:v>
                </c:pt>
                <c:pt idx="4">
                  <c:v>управління кап. будівництва</c:v>
                </c:pt>
                <c:pt idx="5">
                  <c:v>відділ внутр.політики</c:v>
                </c:pt>
                <c:pt idx="6">
                  <c:v>управління соц.захисту</c:v>
                </c:pt>
                <c:pt idx="7">
                  <c:v>відділ комунального майна</c:v>
                </c:pt>
                <c:pt idx="8">
                  <c:v>управління фінансів</c:v>
                </c:pt>
                <c:pt idx="9">
                  <c:v>відділ економіки</c:v>
                </c:pt>
              </c:strCache>
            </c:strRef>
          </c:cat>
          <c:val>
            <c:numRef>
              <c:f>Аркуш1!$D$2:$D$11</c:f>
              <c:numCache>
                <c:formatCode>General</c:formatCode>
                <c:ptCount val="10"/>
              </c:numCache>
            </c:numRef>
          </c:val>
        </c:ser>
        <c:shape val="cylinder"/>
        <c:axId val="101755904"/>
        <c:axId val="101860096"/>
        <c:axId val="0"/>
      </c:bar3DChart>
      <c:catAx>
        <c:axId val="101755904"/>
        <c:scaling>
          <c:orientation val="minMax"/>
        </c:scaling>
        <c:axPos val="b"/>
        <c:tickLblPos val="nextTo"/>
        <c:crossAx val="101860096"/>
        <c:crosses val="autoZero"/>
        <c:auto val="1"/>
        <c:lblAlgn val="ctr"/>
        <c:lblOffset val="100"/>
      </c:catAx>
      <c:valAx>
        <c:axId val="101860096"/>
        <c:scaling>
          <c:orientation val="minMax"/>
        </c:scaling>
        <c:axPos val="l"/>
        <c:majorGridlines/>
        <c:numFmt formatCode="General" sourceLinked="1"/>
        <c:tickLblPos val="nextTo"/>
        <c:crossAx val="1017559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1459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vidiborec</dc:creator>
  <cp:keywords/>
  <dc:description/>
  <cp:lastModifiedBy>moiseeva</cp:lastModifiedBy>
  <cp:revision>5</cp:revision>
  <dcterms:created xsi:type="dcterms:W3CDTF">2016-02-04T14:05:00Z</dcterms:created>
  <dcterms:modified xsi:type="dcterms:W3CDTF">2016-02-26T07:58:00Z</dcterms:modified>
</cp:coreProperties>
</file>