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7D4" w:rsidRPr="003D4885" w:rsidRDefault="00CB57D4" w:rsidP="00CB57D4">
      <w:pPr>
        <w:tabs>
          <w:tab w:val="left" w:pos="142"/>
        </w:tabs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4885">
        <w:rPr>
          <w:rFonts w:ascii="Times New Roman" w:hAnsi="Times New Roman" w:cs="Times New Roman"/>
          <w:sz w:val="28"/>
          <w:szCs w:val="28"/>
          <w:lang w:val="uk-UA"/>
        </w:rPr>
        <w:t xml:space="preserve">Голові Дарницької районної </w:t>
      </w:r>
    </w:p>
    <w:p w:rsidR="00CB57D4" w:rsidRPr="003D4885" w:rsidRDefault="00CB57D4" w:rsidP="00CB57D4">
      <w:pPr>
        <w:tabs>
          <w:tab w:val="left" w:pos="142"/>
        </w:tabs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4885">
        <w:rPr>
          <w:rFonts w:ascii="Times New Roman" w:hAnsi="Times New Roman" w:cs="Times New Roman"/>
          <w:sz w:val="28"/>
          <w:szCs w:val="28"/>
          <w:lang w:val="uk-UA"/>
        </w:rPr>
        <w:t xml:space="preserve">в місті Києві державної адміністрації </w:t>
      </w:r>
    </w:p>
    <w:p w:rsidR="00CB57D4" w:rsidRPr="003D4885" w:rsidRDefault="00CB57D4" w:rsidP="00CB57D4">
      <w:pPr>
        <w:tabs>
          <w:tab w:val="left" w:pos="142"/>
        </w:tabs>
        <w:spacing w:after="0"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D4885">
        <w:rPr>
          <w:rFonts w:ascii="Times New Roman" w:hAnsi="Times New Roman" w:cs="Times New Roman"/>
          <w:b/>
          <w:sz w:val="28"/>
          <w:szCs w:val="28"/>
          <w:lang w:val="uk-UA"/>
        </w:rPr>
        <w:t>Сінцову</w:t>
      </w:r>
      <w:proofErr w:type="spellEnd"/>
      <w:r w:rsidRPr="003D48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Г.Л.</w:t>
      </w:r>
    </w:p>
    <w:p w:rsidR="00CB57D4" w:rsidRDefault="00CB57D4" w:rsidP="00CB57D4">
      <w:pPr>
        <w:tabs>
          <w:tab w:val="left" w:pos="142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57D4" w:rsidRPr="003D4885" w:rsidRDefault="00CB57D4" w:rsidP="00CB57D4">
      <w:pPr>
        <w:tabs>
          <w:tab w:val="left" w:pos="142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4885">
        <w:rPr>
          <w:rFonts w:ascii="Times New Roman" w:hAnsi="Times New Roman" w:cs="Times New Roman"/>
          <w:b/>
          <w:sz w:val="28"/>
          <w:szCs w:val="28"/>
          <w:lang w:val="uk-UA"/>
        </w:rPr>
        <w:t>ДОВІДКА</w:t>
      </w:r>
    </w:p>
    <w:p w:rsidR="00CB57D4" w:rsidRDefault="00CB57D4" w:rsidP="00CB57D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4885">
        <w:rPr>
          <w:rFonts w:ascii="Times New Roman" w:hAnsi="Times New Roman" w:cs="Times New Roman"/>
          <w:sz w:val="28"/>
          <w:szCs w:val="28"/>
          <w:lang w:val="uk-UA"/>
        </w:rPr>
        <w:t xml:space="preserve">для розгляду на апаратній нараді </w:t>
      </w:r>
    </w:p>
    <w:p w:rsidR="00CB57D4" w:rsidRPr="003D4885" w:rsidRDefault="00CB57D4" w:rsidP="00CB57D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4885"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B57D4" w:rsidRPr="003D4885" w:rsidRDefault="00CB57D4" w:rsidP="00CB57D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03.02</w:t>
      </w:r>
      <w:r w:rsidRPr="003D4885">
        <w:rPr>
          <w:rFonts w:ascii="Times New Roman" w:hAnsi="Times New Roman" w:cs="Times New Roman"/>
          <w:b/>
          <w:sz w:val="28"/>
          <w:szCs w:val="28"/>
          <w:lang w:val="uk-UA"/>
        </w:rPr>
        <w:t>.201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CB57D4" w:rsidRPr="003D4885" w:rsidRDefault="00CB57D4" w:rsidP="00CB57D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4885">
        <w:rPr>
          <w:rFonts w:ascii="Times New Roman" w:hAnsi="Times New Roman" w:cs="Times New Roman"/>
          <w:sz w:val="28"/>
          <w:szCs w:val="28"/>
          <w:lang w:val="uk-UA"/>
        </w:rPr>
        <w:t xml:space="preserve">з питання: </w:t>
      </w:r>
      <w:r w:rsidRPr="003D48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стан виконання структурними підрозділами райдержадміністрації та службами району усних звернень мешканців Дарницького району до КБУ «Контактний центр міста Києва» </w:t>
      </w:r>
    </w:p>
    <w:p w:rsidR="00CB57D4" w:rsidRPr="003D4885" w:rsidRDefault="00CB57D4" w:rsidP="00CB57D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4885">
        <w:rPr>
          <w:rFonts w:ascii="Times New Roman" w:hAnsi="Times New Roman" w:cs="Times New Roman"/>
          <w:b/>
          <w:sz w:val="28"/>
          <w:szCs w:val="28"/>
          <w:lang w:val="uk-UA"/>
        </w:rPr>
        <w:t>за підсумками 2014 року».</w:t>
      </w:r>
    </w:p>
    <w:p w:rsidR="00CB57D4" w:rsidRPr="00AD4FC6" w:rsidRDefault="00CB57D4" w:rsidP="00CB57D4">
      <w:pPr>
        <w:tabs>
          <w:tab w:val="left" w:pos="142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57D4" w:rsidRDefault="00CB57D4" w:rsidP="00CB57D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період 01.01.2014 – 31.12.2014 на розгляд до Дарницької районної в місті Києві державної адміністрації надійшло та було опрацьовано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18119 </w:t>
      </w:r>
      <w:r w:rsidRPr="00A9446E">
        <w:rPr>
          <w:rFonts w:ascii="Times New Roman" w:hAnsi="Times New Roman" w:cs="Times New Roman"/>
          <w:sz w:val="28"/>
          <w:szCs w:val="28"/>
          <w:lang w:val="uk-UA"/>
        </w:rPr>
        <w:t>усних звернень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944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них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10946</w:t>
      </w:r>
      <w:r w:rsidRPr="00A9446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 відповідно до розпорядження від 12 вересня 2013 року № 1670 «Про затвердження змін до Порядку проведення рейтингової оцінки діяльності районних в місті Києві державних адміністрацій» (на даний час втратило чинність на підставі розпорядження КМДА від 29.12.2014 № 1547), впливають на рейтингову оцінку.</w:t>
      </w:r>
    </w:p>
    <w:p w:rsidR="00CB57D4" w:rsidRDefault="00CB57D4" w:rsidP="00CB57D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порівнянні з 2013 роком, кількість звернень, що надійшли на виконання до адміністрації, зменшилась на 10 %, що пов’язано із зменшенням активності мешканців в першому кварталі 2014 року та тогочасним подіям в країні.</w:t>
      </w:r>
    </w:p>
    <w:p w:rsidR="00CB57D4" w:rsidRDefault="00CB57D4" w:rsidP="00CB57D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34FB">
        <w:rPr>
          <w:rFonts w:ascii="Times New Roman" w:hAnsi="Times New Roman" w:cs="Times New Roman"/>
          <w:sz w:val="28"/>
          <w:szCs w:val="28"/>
          <w:lang w:val="uk-UA"/>
        </w:rPr>
        <w:t xml:space="preserve">Слід відмітити, що </w:t>
      </w:r>
      <w:r>
        <w:rPr>
          <w:rFonts w:ascii="Times New Roman" w:hAnsi="Times New Roman" w:cs="Times New Roman"/>
          <w:sz w:val="28"/>
          <w:szCs w:val="28"/>
          <w:lang w:val="uk-UA"/>
        </w:rPr>
        <w:t>протягом року</w:t>
      </w:r>
      <w:r w:rsidRPr="00AC34FB">
        <w:rPr>
          <w:rFonts w:ascii="Times New Roman" w:hAnsi="Times New Roman" w:cs="Times New Roman"/>
          <w:sz w:val="28"/>
          <w:szCs w:val="28"/>
          <w:lang w:val="uk-UA"/>
        </w:rPr>
        <w:t xml:space="preserve"> відбулися деякі сплески активності мешканців. По-перше, рясні дощі, що зумовили протікання дахів, підтоплення тощо, </w:t>
      </w:r>
      <w:r>
        <w:rPr>
          <w:rFonts w:ascii="Times New Roman" w:hAnsi="Times New Roman" w:cs="Times New Roman"/>
          <w:sz w:val="28"/>
          <w:szCs w:val="28"/>
          <w:lang w:val="uk-UA"/>
        </w:rPr>
        <w:t>за 2 дні 180 заяв</w:t>
      </w:r>
      <w:r w:rsidRPr="00AC34F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По-друге, </w:t>
      </w:r>
      <w:r w:rsidRPr="00AC34FB">
        <w:rPr>
          <w:rFonts w:ascii="Times New Roman" w:hAnsi="Times New Roman" w:cs="Times New Roman"/>
          <w:sz w:val="28"/>
          <w:szCs w:val="28"/>
          <w:lang w:val="uk-UA"/>
        </w:rPr>
        <w:t>ПАТ «</w:t>
      </w:r>
      <w:proofErr w:type="spellStart"/>
      <w:r w:rsidRPr="00AC34FB">
        <w:rPr>
          <w:rFonts w:ascii="Times New Roman" w:hAnsi="Times New Roman" w:cs="Times New Roman"/>
          <w:sz w:val="28"/>
          <w:szCs w:val="28"/>
          <w:lang w:val="uk-UA"/>
        </w:rPr>
        <w:t>Київенерго</w:t>
      </w:r>
      <w:proofErr w:type="spellEnd"/>
      <w:r w:rsidRPr="00AC34FB">
        <w:rPr>
          <w:rFonts w:ascii="Times New Roman" w:hAnsi="Times New Roman" w:cs="Times New Roman"/>
          <w:sz w:val="28"/>
          <w:szCs w:val="28"/>
          <w:lang w:val="uk-UA"/>
        </w:rPr>
        <w:t xml:space="preserve">» у період з 27 травня по 20 червня поточного року, в зв’язку з плановим випробуванням теплових мереж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здійснило </w:t>
      </w:r>
      <w:r w:rsidRPr="00AC34FB">
        <w:rPr>
          <w:rFonts w:ascii="Times New Roman" w:hAnsi="Times New Roman" w:cs="Times New Roman"/>
          <w:sz w:val="28"/>
          <w:szCs w:val="28"/>
          <w:lang w:val="uk-UA"/>
        </w:rPr>
        <w:t xml:space="preserve">відключення </w:t>
      </w:r>
      <w:proofErr w:type="spellStart"/>
      <w:r w:rsidRPr="00AC34FB">
        <w:rPr>
          <w:rFonts w:ascii="Times New Roman" w:hAnsi="Times New Roman" w:cs="Times New Roman"/>
          <w:sz w:val="28"/>
          <w:szCs w:val="28"/>
          <w:lang w:val="uk-UA"/>
        </w:rPr>
        <w:t>ГВП</w:t>
      </w:r>
      <w:proofErr w:type="spellEnd"/>
      <w:r w:rsidRPr="00AC34FB">
        <w:rPr>
          <w:rFonts w:ascii="Times New Roman" w:hAnsi="Times New Roman" w:cs="Times New Roman"/>
          <w:sz w:val="28"/>
          <w:szCs w:val="28"/>
          <w:lang w:val="uk-UA"/>
        </w:rPr>
        <w:t xml:space="preserve">. Відновлення послуги </w:t>
      </w:r>
      <w:r>
        <w:rPr>
          <w:rFonts w:ascii="Times New Roman" w:hAnsi="Times New Roman" w:cs="Times New Roman"/>
          <w:sz w:val="28"/>
          <w:szCs w:val="28"/>
          <w:lang w:val="uk-UA"/>
        </w:rPr>
        <w:t>планувалося до</w:t>
      </w:r>
      <w:r w:rsidRPr="00AC34FB">
        <w:rPr>
          <w:rFonts w:ascii="Times New Roman" w:hAnsi="Times New Roman" w:cs="Times New Roman"/>
          <w:sz w:val="28"/>
          <w:szCs w:val="28"/>
          <w:lang w:val="uk-UA"/>
        </w:rPr>
        <w:t xml:space="preserve"> 20:00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 червня </w:t>
      </w:r>
      <w:r w:rsidRPr="00AC34FB">
        <w:rPr>
          <w:rFonts w:ascii="Times New Roman" w:hAnsi="Times New Roman" w:cs="Times New Roman"/>
          <w:sz w:val="28"/>
          <w:szCs w:val="28"/>
          <w:lang w:val="uk-UA"/>
        </w:rPr>
        <w:t xml:space="preserve">2014. Так як, подачу </w:t>
      </w:r>
      <w:proofErr w:type="spellStart"/>
      <w:r w:rsidRPr="00AC34FB">
        <w:rPr>
          <w:rFonts w:ascii="Times New Roman" w:hAnsi="Times New Roman" w:cs="Times New Roman"/>
          <w:sz w:val="28"/>
          <w:szCs w:val="28"/>
          <w:lang w:val="uk-UA"/>
        </w:rPr>
        <w:t>ГВП</w:t>
      </w:r>
      <w:proofErr w:type="spellEnd"/>
      <w:r w:rsidRPr="00AC34FB">
        <w:rPr>
          <w:rFonts w:ascii="Times New Roman" w:hAnsi="Times New Roman" w:cs="Times New Roman"/>
          <w:sz w:val="28"/>
          <w:szCs w:val="28"/>
          <w:lang w:val="uk-UA"/>
        </w:rPr>
        <w:t xml:space="preserve"> не було відновлено за 3 дні 20-22 червня до КБУ «Контактний центр міста Києва» надійшло 435 заяв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даного приводу</w:t>
      </w:r>
      <w:r w:rsidRPr="00AC34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57D4" w:rsidRDefault="00CB57D4" w:rsidP="00CB57D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1B2">
        <w:rPr>
          <w:rFonts w:ascii="Times New Roman" w:hAnsi="Times New Roman" w:cs="Times New Roman"/>
          <w:sz w:val="28"/>
          <w:szCs w:val="28"/>
          <w:lang w:val="uk-UA"/>
        </w:rPr>
        <w:t xml:space="preserve">Не виключенням став і початок опалювального сезону за 3 дні </w:t>
      </w:r>
      <w:r>
        <w:rPr>
          <w:rFonts w:ascii="Times New Roman" w:hAnsi="Times New Roman" w:cs="Times New Roman"/>
          <w:sz w:val="28"/>
          <w:szCs w:val="28"/>
          <w:lang w:val="uk-UA"/>
        </w:rPr>
        <w:t>287</w:t>
      </w:r>
      <w:r w:rsidRPr="00DD71B2">
        <w:rPr>
          <w:rFonts w:ascii="Times New Roman" w:hAnsi="Times New Roman" w:cs="Times New Roman"/>
          <w:sz w:val="28"/>
          <w:szCs w:val="28"/>
          <w:lang w:val="uk-UA"/>
        </w:rPr>
        <w:t xml:space="preserve"> звернень. </w:t>
      </w:r>
      <w:r>
        <w:rPr>
          <w:rFonts w:ascii="Times New Roman" w:hAnsi="Times New Roman" w:cs="Times New Roman"/>
          <w:sz w:val="28"/>
          <w:szCs w:val="28"/>
          <w:lang w:val="uk-UA"/>
        </w:rPr>
        <w:t>Тотальна повірка лічильників також завдала труднощів – загалом 286 звернень в останній тиждень старого року. Прикрий випадок із неякісною послугою ХВП в мікрорайоні Бортничі накопичив близько 317 звернень, 120 з яких надійшло на розгляд до Адміністрації та за клопотанням останньої було переадресовано до ПАТ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Київводоканал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B57D4" w:rsidRDefault="00CB57D4" w:rsidP="00CB57D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Інших п</w:t>
      </w:r>
      <w:r w:rsidRPr="00DD71B2">
        <w:rPr>
          <w:rFonts w:ascii="Times New Roman" w:hAnsi="Times New Roman" w:cs="Times New Roman"/>
          <w:sz w:val="28"/>
          <w:szCs w:val="28"/>
          <w:lang w:val="uk-UA"/>
        </w:rPr>
        <w:t xml:space="preserve">омітних сплесків активності мешканців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2014 рік </w:t>
      </w:r>
      <w:r w:rsidRPr="00DD71B2">
        <w:rPr>
          <w:rFonts w:ascii="Times New Roman" w:hAnsi="Times New Roman" w:cs="Times New Roman"/>
          <w:sz w:val="28"/>
          <w:szCs w:val="28"/>
          <w:lang w:val="uk-UA"/>
        </w:rPr>
        <w:t>помічено не було.</w:t>
      </w:r>
    </w:p>
    <w:p w:rsidR="00CB57D4" w:rsidRPr="00AD4FC6" w:rsidRDefault="00CB57D4" w:rsidP="00CB57D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CB57D4" w:rsidRDefault="00CB57D4" w:rsidP="00CB57D4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3D4885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Слайд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№ 2</w:t>
      </w:r>
    </w:p>
    <w:p w:rsidR="00CB57D4" w:rsidRDefault="00CB57D4" w:rsidP="00CB57D4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726BF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(Діаграма)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726BF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Надходженням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усних звернень за 2014 рік по виконавцям.</w:t>
      </w:r>
    </w:p>
    <w:p w:rsidR="00CB57D4" w:rsidRPr="00AD4FC6" w:rsidRDefault="00CB57D4" w:rsidP="00CB57D4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</w:pPr>
    </w:p>
    <w:p w:rsidR="00CB57D4" w:rsidRPr="002553DD" w:rsidRDefault="00CB57D4" w:rsidP="00CB57D4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proofErr w:type="spellStart"/>
      <w:r w:rsidRPr="002553D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Довідково</w:t>
      </w:r>
      <w:proofErr w:type="spellEnd"/>
      <w:r w:rsidRPr="002553D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</w:p>
    <w:p w:rsidR="00CB57D4" w:rsidRPr="002553DD" w:rsidRDefault="00CB57D4" w:rsidP="00CB57D4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2553D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По кількості звернень Дарницький район знаходиться на 9 місці з результатом 18119, тоді як Шевченківський район накопичив 48417 усних звернень.</w:t>
      </w:r>
    </w:p>
    <w:p w:rsidR="00CB57D4" w:rsidRDefault="00CB57D4" w:rsidP="00CB57D4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2553D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Найактивнішим мешканцем Дарницького району, за підсумками 2014 року визнано </w:t>
      </w:r>
      <w:proofErr w:type="spellStart"/>
      <w:r w:rsidRPr="002553DD">
        <w:rPr>
          <w:rFonts w:ascii="Times New Roman" w:hAnsi="Times New Roman" w:cs="Times New Roman"/>
          <w:i/>
          <w:sz w:val="28"/>
          <w:szCs w:val="28"/>
          <w:lang w:val="uk-UA"/>
        </w:rPr>
        <w:t>Приходченко</w:t>
      </w:r>
      <w:proofErr w:type="spellEnd"/>
      <w:r w:rsidRPr="002553D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Ірину Олексіївну, що мешкає за адресою вул. Кошиця 4, кількість звернень 25. Хоча найбільша кількість звернень надійшла від Коваленка </w:t>
      </w:r>
      <w:r w:rsidRPr="002553DD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Леоніда Ігоровича 140, але питань, що в них піднімались становить лише 7. В місті Києві найбільшим скаржником став </w:t>
      </w:r>
      <w:r w:rsidRPr="002553DD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19-річний хлопець, що мешкає в Дніпровському районі, він направив владі за рік 1275 скарг.</w:t>
      </w:r>
    </w:p>
    <w:p w:rsidR="00CB57D4" w:rsidRPr="00FA364F" w:rsidRDefault="00CB57D4" w:rsidP="00CB57D4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В цілому звернення за статевою ознакою розподілились як 69,3% проти 30,7% на користь жінок та 82% на користь «гарячої лінії 15-15» проти 18% звернень, що надійшли через </w:t>
      </w: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веб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. портал, мобільний додаток чи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e</w:t>
      </w:r>
      <w:r w:rsidRPr="00FA364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mail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. Таке співвідношення майже повністю співпадає з ситуацією по місту Києву.</w:t>
      </w:r>
    </w:p>
    <w:p w:rsidR="00CB57D4" w:rsidRDefault="00CB57D4" w:rsidP="00CB57D4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</w:p>
    <w:p w:rsidR="00CB57D4" w:rsidRPr="003D4885" w:rsidRDefault="00CB57D4" w:rsidP="00CB57D4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Слайд № 3</w:t>
      </w:r>
    </w:p>
    <w:p w:rsidR="00CB57D4" w:rsidRPr="003D4885" w:rsidRDefault="00CB57D4" w:rsidP="00CB57D4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Стан виконавської дисципліни щодо розгляду усних звернень структурними </w:t>
      </w:r>
      <w:r w:rsidRPr="003D48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підрозділами та комунальними підприємствами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що надійшли </w:t>
      </w:r>
      <w:r w:rsidRPr="003D48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від КБУ «Контактний центр міста Києва»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протягом </w:t>
      </w:r>
      <w:r w:rsidRPr="003D48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2014 року</w:t>
      </w:r>
    </w:p>
    <w:p w:rsidR="00CB57D4" w:rsidRPr="003D4885" w:rsidRDefault="00CB57D4" w:rsidP="00CB57D4">
      <w:pPr>
        <w:tabs>
          <w:tab w:val="left" w:pos="0"/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2</w:t>
      </w:r>
    </w:p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1"/>
        <w:gridCol w:w="1579"/>
        <w:gridCol w:w="1275"/>
        <w:gridCol w:w="1276"/>
        <w:gridCol w:w="995"/>
        <w:gridCol w:w="1422"/>
        <w:gridCol w:w="1199"/>
        <w:gridCol w:w="1131"/>
      </w:tblGrid>
      <w:tr w:rsidR="00CB57D4" w:rsidRPr="008E6F33" w:rsidTr="00F121A2">
        <w:trPr>
          <w:trHeight w:val="758"/>
          <w:jc w:val="center"/>
        </w:trPr>
        <w:tc>
          <w:tcPr>
            <w:tcW w:w="2860" w:type="dxa"/>
            <w:gridSpan w:val="2"/>
            <w:tcMar>
              <w:left w:w="0" w:type="dxa"/>
              <w:right w:w="0" w:type="dxa"/>
            </w:tcMar>
            <w:vAlign w:val="center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uk-UA" w:eastAsia="ru-RU"/>
              </w:rPr>
              <w:t>Структурні підрозділи та комунальні підприємства району</w:t>
            </w:r>
          </w:p>
        </w:tc>
        <w:tc>
          <w:tcPr>
            <w:tcW w:w="1275" w:type="dxa"/>
            <w:vAlign w:val="center"/>
            <w:hideMark/>
          </w:tcPr>
          <w:p w:rsidR="00CB57D4" w:rsidRPr="008E6F33" w:rsidRDefault="00CB57D4" w:rsidP="00F121A2">
            <w:pPr>
              <w:spacing w:after="0" w:line="240" w:lineRule="auto"/>
              <w:ind w:left="-144" w:right="-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Кількість</w:t>
            </w:r>
            <w:r w:rsidRPr="008E6F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br/>
              <w:t>звернень</w:t>
            </w:r>
          </w:p>
        </w:tc>
        <w:tc>
          <w:tcPr>
            <w:tcW w:w="1276" w:type="dxa"/>
            <w:vAlign w:val="center"/>
            <w:hideMark/>
          </w:tcPr>
          <w:p w:rsidR="00CB57D4" w:rsidRPr="008E6F33" w:rsidRDefault="00CB57D4" w:rsidP="00F121A2">
            <w:pPr>
              <w:spacing w:after="0" w:line="240" w:lineRule="auto"/>
              <w:ind w:left="-144" w:right="-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Не</w:t>
            </w:r>
            <w:r w:rsidRPr="008E6F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br/>
              <w:t>виконано</w:t>
            </w:r>
          </w:p>
        </w:tc>
        <w:tc>
          <w:tcPr>
            <w:tcW w:w="995" w:type="dxa"/>
            <w:vAlign w:val="center"/>
          </w:tcPr>
          <w:p w:rsidR="00CB57D4" w:rsidRPr="008E6F33" w:rsidRDefault="00CB57D4" w:rsidP="00F121A2">
            <w:pPr>
              <w:spacing w:after="0" w:line="240" w:lineRule="auto"/>
              <w:ind w:left="-144" w:right="-6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Не вчасно</w:t>
            </w:r>
          </w:p>
        </w:tc>
        <w:tc>
          <w:tcPr>
            <w:tcW w:w="1422" w:type="dxa"/>
            <w:vAlign w:val="center"/>
            <w:hideMark/>
          </w:tcPr>
          <w:p w:rsidR="00CB57D4" w:rsidRPr="008E6F33" w:rsidRDefault="00CB57D4" w:rsidP="00F121A2">
            <w:pPr>
              <w:spacing w:after="0" w:line="240" w:lineRule="auto"/>
              <w:ind w:left="-147" w:right="-6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вчасно</w:t>
            </w:r>
            <w:r w:rsidRPr="008E6F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br/>
              <w:t>закритих</w:t>
            </w:r>
          </w:p>
        </w:tc>
        <w:tc>
          <w:tcPr>
            <w:tcW w:w="1199" w:type="dxa"/>
            <w:vAlign w:val="center"/>
            <w:hideMark/>
          </w:tcPr>
          <w:p w:rsidR="00CB57D4" w:rsidRPr="008E6F33" w:rsidRDefault="00CB57D4" w:rsidP="00F121A2">
            <w:pPr>
              <w:spacing w:after="0" w:line="240" w:lineRule="auto"/>
              <w:ind w:left="-151" w:righ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виконання</w:t>
            </w:r>
            <w:r w:rsidRPr="008E6F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br/>
              <w:t>без </w:t>
            </w:r>
            <w:proofErr w:type="spellStart"/>
            <w:r w:rsidRPr="008E6F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урах</w:t>
            </w:r>
            <w:proofErr w:type="spellEnd"/>
            <w:r w:rsidRPr="008E6F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.</w:t>
            </w:r>
            <w:r w:rsidRPr="008E6F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br/>
            </w:r>
            <w:proofErr w:type="spellStart"/>
            <w:r w:rsidRPr="008E6F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продзвону</w:t>
            </w:r>
            <w:proofErr w:type="spellEnd"/>
          </w:p>
        </w:tc>
        <w:tc>
          <w:tcPr>
            <w:tcW w:w="1131" w:type="dxa"/>
            <w:vAlign w:val="center"/>
            <w:hideMark/>
          </w:tcPr>
          <w:p w:rsidR="00CB57D4" w:rsidRPr="008E6F33" w:rsidRDefault="00CB57D4" w:rsidP="00F121A2">
            <w:pPr>
              <w:spacing w:after="0" w:line="240" w:lineRule="auto"/>
              <w:ind w:left="-74" w:right="-14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 w:rsidRPr="008E6F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Досто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-</w:t>
            </w:r>
            <w:r w:rsidRPr="008E6F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вірності</w:t>
            </w:r>
            <w:proofErr w:type="spellEnd"/>
          </w:p>
        </w:tc>
      </w:tr>
      <w:tr w:rsidR="00CB57D4" w:rsidRPr="008E6F33" w:rsidTr="00F121A2">
        <w:trPr>
          <w:trHeight w:val="256"/>
          <w:jc w:val="center"/>
        </w:trPr>
        <w:tc>
          <w:tcPr>
            <w:tcW w:w="2860" w:type="dxa"/>
            <w:gridSpan w:val="2"/>
            <w:tcMar>
              <w:left w:w="0" w:type="dxa"/>
              <w:right w:w="0" w:type="dxa"/>
            </w:tcMar>
            <w:vAlign w:val="center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995" w:type="dxa"/>
            <w:vAlign w:val="center"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422" w:type="dxa"/>
            <w:vAlign w:val="center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199" w:type="dxa"/>
            <w:vAlign w:val="center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131" w:type="dxa"/>
            <w:vAlign w:val="center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</w:tr>
      <w:tr w:rsidR="00CB57D4" w:rsidRPr="008E6F33" w:rsidTr="00F121A2">
        <w:trPr>
          <w:jc w:val="center"/>
        </w:trPr>
        <w:tc>
          <w:tcPr>
            <w:tcW w:w="2860" w:type="dxa"/>
            <w:gridSpan w:val="2"/>
            <w:hideMark/>
          </w:tcPr>
          <w:p w:rsidR="00CB57D4" w:rsidRPr="008E6F3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освіти</w:t>
            </w:r>
          </w:p>
        </w:tc>
        <w:tc>
          <w:tcPr>
            <w:tcW w:w="1275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1276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95" w:type="dxa"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22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98,73%</w:t>
            </w:r>
          </w:p>
        </w:tc>
        <w:tc>
          <w:tcPr>
            <w:tcW w:w="1199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93,67%</w:t>
            </w:r>
          </w:p>
        </w:tc>
        <w:tc>
          <w:tcPr>
            <w:tcW w:w="1131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</w:tr>
      <w:tr w:rsidR="00CB57D4" w:rsidRPr="008E6F33" w:rsidTr="00F121A2">
        <w:trPr>
          <w:jc w:val="center"/>
        </w:trPr>
        <w:tc>
          <w:tcPr>
            <w:tcW w:w="2860" w:type="dxa"/>
            <w:gridSpan w:val="2"/>
            <w:hideMark/>
          </w:tcPr>
          <w:p w:rsidR="00CB57D4" w:rsidRPr="008E6F3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праці та соціального захисту</w:t>
            </w:r>
          </w:p>
        </w:tc>
        <w:tc>
          <w:tcPr>
            <w:tcW w:w="1275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1276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5" w:type="dxa"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22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  <w:tc>
          <w:tcPr>
            <w:tcW w:w="1199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98,51%</w:t>
            </w:r>
          </w:p>
        </w:tc>
        <w:tc>
          <w:tcPr>
            <w:tcW w:w="1131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</w:tr>
      <w:tr w:rsidR="00CB57D4" w:rsidRPr="008E6F33" w:rsidTr="00F121A2">
        <w:trPr>
          <w:jc w:val="center"/>
        </w:trPr>
        <w:tc>
          <w:tcPr>
            <w:tcW w:w="2860" w:type="dxa"/>
            <w:gridSpan w:val="2"/>
            <w:hideMark/>
          </w:tcPr>
          <w:p w:rsidR="00CB57D4" w:rsidRPr="008E6F3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ЖКГ</w:t>
            </w:r>
          </w:p>
        </w:tc>
        <w:tc>
          <w:tcPr>
            <w:tcW w:w="1275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1772</w:t>
            </w:r>
          </w:p>
        </w:tc>
        <w:tc>
          <w:tcPr>
            <w:tcW w:w="1276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995" w:type="dxa"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22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99,89%</w:t>
            </w:r>
          </w:p>
        </w:tc>
        <w:tc>
          <w:tcPr>
            <w:tcW w:w="1199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98,81%</w:t>
            </w:r>
          </w:p>
        </w:tc>
        <w:tc>
          <w:tcPr>
            <w:tcW w:w="1131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96,40%</w:t>
            </w:r>
          </w:p>
        </w:tc>
      </w:tr>
      <w:tr w:rsidR="00CB57D4" w:rsidRPr="00014277" w:rsidTr="00F121A2">
        <w:trPr>
          <w:jc w:val="center"/>
        </w:trPr>
        <w:tc>
          <w:tcPr>
            <w:tcW w:w="2860" w:type="dxa"/>
            <w:gridSpan w:val="2"/>
            <w:hideMark/>
          </w:tcPr>
          <w:p w:rsidR="00CB57D4" w:rsidRPr="00014277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427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Відділ благоустрою </w:t>
            </w:r>
          </w:p>
        </w:tc>
        <w:tc>
          <w:tcPr>
            <w:tcW w:w="1275" w:type="dxa"/>
            <w:hideMark/>
          </w:tcPr>
          <w:p w:rsidR="00CB57D4" w:rsidRPr="00014277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427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330</w:t>
            </w:r>
          </w:p>
        </w:tc>
        <w:tc>
          <w:tcPr>
            <w:tcW w:w="1276" w:type="dxa"/>
            <w:hideMark/>
          </w:tcPr>
          <w:p w:rsidR="00CB57D4" w:rsidRPr="00014277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427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995" w:type="dxa"/>
          </w:tcPr>
          <w:p w:rsidR="00CB57D4" w:rsidRPr="00014277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427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22" w:type="dxa"/>
            <w:hideMark/>
          </w:tcPr>
          <w:p w:rsidR="00CB57D4" w:rsidRPr="00014277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427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99,09%</w:t>
            </w:r>
          </w:p>
        </w:tc>
        <w:tc>
          <w:tcPr>
            <w:tcW w:w="1199" w:type="dxa"/>
            <w:hideMark/>
          </w:tcPr>
          <w:p w:rsidR="00CB57D4" w:rsidRPr="00014277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427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87,57%</w:t>
            </w:r>
          </w:p>
        </w:tc>
        <w:tc>
          <w:tcPr>
            <w:tcW w:w="1131" w:type="dxa"/>
            <w:hideMark/>
          </w:tcPr>
          <w:p w:rsidR="00CB57D4" w:rsidRPr="00014277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427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90,05%</w:t>
            </w:r>
          </w:p>
        </w:tc>
      </w:tr>
      <w:tr w:rsidR="00CB57D4" w:rsidRPr="008E6F33" w:rsidTr="00F121A2">
        <w:trPr>
          <w:jc w:val="center"/>
        </w:trPr>
        <w:tc>
          <w:tcPr>
            <w:tcW w:w="2860" w:type="dxa"/>
            <w:gridSpan w:val="2"/>
            <w:hideMark/>
          </w:tcPr>
          <w:p w:rsidR="00CB57D4" w:rsidRPr="008E6F3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 будівництва, архітектури та розвитку інфраструктури</w:t>
            </w:r>
          </w:p>
        </w:tc>
        <w:tc>
          <w:tcPr>
            <w:tcW w:w="1275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276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5" w:type="dxa"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22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  <w:tc>
          <w:tcPr>
            <w:tcW w:w="1199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79,17%</w:t>
            </w:r>
          </w:p>
        </w:tc>
        <w:tc>
          <w:tcPr>
            <w:tcW w:w="1131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71,43%</w:t>
            </w:r>
          </w:p>
        </w:tc>
      </w:tr>
      <w:tr w:rsidR="00CB57D4" w:rsidRPr="008E6F33" w:rsidTr="00F121A2">
        <w:trPr>
          <w:jc w:val="center"/>
        </w:trPr>
        <w:tc>
          <w:tcPr>
            <w:tcW w:w="2860" w:type="dxa"/>
            <w:gridSpan w:val="2"/>
            <w:hideMark/>
          </w:tcPr>
          <w:p w:rsidR="00CB57D4" w:rsidRPr="008E6F3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«УЗН»</w:t>
            </w:r>
          </w:p>
        </w:tc>
        <w:tc>
          <w:tcPr>
            <w:tcW w:w="1275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141</w:t>
            </w:r>
          </w:p>
        </w:tc>
        <w:tc>
          <w:tcPr>
            <w:tcW w:w="1276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995" w:type="dxa"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22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98,57%</w:t>
            </w:r>
          </w:p>
        </w:tc>
        <w:tc>
          <w:tcPr>
            <w:tcW w:w="1199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88,57%</w:t>
            </w:r>
          </w:p>
        </w:tc>
        <w:tc>
          <w:tcPr>
            <w:tcW w:w="1131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94,44%</w:t>
            </w:r>
          </w:p>
        </w:tc>
      </w:tr>
      <w:tr w:rsidR="00CB57D4" w:rsidRPr="008E6F33" w:rsidTr="00F121A2">
        <w:trPr>
          <w:jc w:val="center"/>
        </w:trPr>
        <w:tc>
          <w:tcPr>
            <w:tcW w:w="2860" w:type="dxa"/>
            <w:gridSpan w:val="2"/>
            <w:hideMark/>
          </w:tcPr>
          <w:p w:rsidR="00CB57D4" w:rsidRPr="008E6F3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«ШЕУ»</w:t>
            </w:r>
          </w:p>
        </w:tc>
        <w:tc>
          <w:tcPr>
            <w:tcW w:w="1275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1276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5" w:type="dxa"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22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  <w:tc>
          <w:tcPr>
            <w:tcW w:w="1199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92,59%</w:t>
            </w:r>
          </w:p>
        </w:tc>
        <w:tc>
          <w:tcPr>
            <w:tcW w:w="1131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93,88%</w:t>
            </w:r>
          </w:p>
        </w:tc>
      </w:tr>
      <w:tr w:rsidR="00CB57D4" w:rsidRPr="008E6F33" w:rsidTr="00F121A2">
        <w:trPr>
          <w:jc w:val="center"/>
        </w:trPr>
        <w:tc>
          <w:tcPr>
            <w:tcW w:w="1281" w:type="dxa"/>
            <w:vMerge w:val="restart"/>
            <w:tcMar>
              <w:left w:w="0" w:type="dxa"/>
              <w:right w:w="0" w:type="dxa"/>
            </w:tcMar>
            <w:vAlign w:val="center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ДЗ</w:t>
            </w:r>
            <w:proofErr w:type="spellEnd"/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</w:t>
            </w:r>
            <w:proofErr w:type="spellStart"/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УЖГ</w:t>
            </w:r>
            <w:proofErr w:type="spellEnd"/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579" w:type="dxa"/>
          </w:tcPr>
          <w:p w:rsidR="00CB57D4" w:rsidRPr="008E6F3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 201</w:t>
            </w:r>
          </w:p>
        </w:tc>
        <w:tc>
          <w:tcPr>
            <w:tcW w:w="1275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882</w:t>
            </w:r>
          </w:p>
        </w:tc>
        <w:tc>
          <w:tcPr>
            <w:tcW w:w="1276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995" w:type="dxa"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22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99,77%</w:t>
            </w:r>
          </w:p>
        </w:tc>
        <w:tc>
          <w:tcPr>
            <w:tcW w:w="1199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98,75%</w:t>
            </w:r>
          </w:p>
        </w:tc>
        <w:tc>
          <w:tcPr>
            <w:tcW w:w="1131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93,10%</w:t>
            </w:r>
          </w:p>
        </w:tc>
      </w:tr>
      <w:tr w:rsidR="00CB57D4" w:rsidRPr="008E6F33" w:rsidTr="00F121A2">
        <w:trPr>
          <w:jc w:val="center"/>
        </w:trPr>
        <w:tc>
          <w:tcPr>
            <w:tcW w:w="128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79" w:type="dxa"/>
          </w:tcPr>
          <w:p w:rsidR="00CB57D4" w:rsidRPr="008E6F3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 202</w:t>
            </w:r>
          </w:p>
        </w:tc>
        <w:tc>
          <w:tcPr>
            <w:tcW w:w="1275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1371</w:t>
            </w:r>
          </w:p>
        </w:tc>
        <w:tc>
          <w:tcPr>
            <w:tcW w:w="1276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995" w:type="dxa"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22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99,93%</w:t>
            </w:r>
          </w:p>
        </w:tc>
        <w:tc>
          <w:tcPr>
            <w:tcW w:w="1199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99,34%</w:t>
            </w:r>
          </w:p>
        </w:tc>
        <w:tc>
          <w:tcPr>
            <w:tcW w:w="1131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93,83%</w:t>
            </w:r>
          </w:p>
        </w:tc>
      </w:tr>
      <w:tr w:rsidR="00CB57D4" w:rsidRPr="008E6F33" w:rsidTr="00F121A2">
        <w:trPr>
          <w:jc w:val="center"/>
        </w:trPr>
        <w:tc>
          <w:tcPr>
            <w:tcW w:w="128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79" w:type="dxa"/>
          </w:tcPr>
          <w:p w:rsidR="00CB57D4" w:rsidRPr="008E6F3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 203</w:t>
            </w:r>
          </w:p>
        </w:tc>
        <w:tc>
          <w:tcPr>
            <w:tcW w:w="1275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1275</w:t>
            </w:r>
          </w:p>
        </w:tc>
        <w:tc>
          <w:tcPr>
            <w:tcW w:w="1276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995" w:type="dxa"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22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99,69%</w:t>
            </w:r>
          </w:p>
        </w:tc>
        <w:tc>
          <w:tcPr>
            <w:tcW w:w="1199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98,27%</w:t>
            </w:r>
          </w:p>
        </w:tc>
        <w:tc>
          <w:tcPr>
            <w:tcW w:w="1131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92,48%</w:t>
            </w:r>
          </w:p>
        </w:tc>
      </w:tr>
      <w:tr w:rsidR="00CB57D4" w:rsidRPr="008E6F33" w:rsidTr="00F121A2">
        <w:trPr>
          <w:jc w:val="center"/>
        </w:trPr>
        <w:tc>
          <w:tcPr>
            <w:tcW w:w="128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79" w:type="dxa"/>
          </w:tcPr>
          <w:p w:rsidR="00CB57D4" w:rsidRPr="008E6F3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 204</w:t>
            </w:r>
          </w:p>
        </w:tc>
        <w:tc>
          <w:tcPr>
            <w:tcW w:w="1275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427</w:t>
            </w:r>
          </w:p>
        </w:tc>
        <w:tc>
          <w:tcPr>
            <w:tcW w:w="1276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5" w:type="dxa"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22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  <w:tc>
          <w:tcPr>
            <w:tcW w:w="1199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  <w:tc>
          <w:tcPr>
            <w:tcW w:w="1131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96,73%</w:t>
            </w:r>
          </w:p>
        </w:tc>
      </w:tr>
      <w:tr w:rsidR="00CB57D4" w:rsidRPr="008E6F33" w:rsidTr="00F121A2">
        <w:trPr>
          <w:jc w:val="center"/>
        </w:trPr>
        <w:tc>
          <w:tcPr>
            <w:tcW w:w="128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79" w:type="dxa"/>
          </w:tcPr>
          <w:p w:rsidR="00CB57D4" w:rsidRPr="008E6F3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 205</w:t>
            </w:r>
          </w:p>
        </w:tc>
        <w:tc>
          <w:tcPr>
            <w:tcW w:w="1275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637</w:t>
            </w:r>
          </w:p>
        </w:tc>
        <w:tc>
          <w:tcPr>
            <w:tcW w:w="1276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5" w:type="dxa"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22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  <w:tc>
          <w:tcPr>
            <w:tcW w:w="1199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98,74%</w:t>
            </w:r>
          </w:p>
        </w:tc>
        <w:tc>
          <w:tcPr>
            <w:tcW w:w="1131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93,48%</w:t>
            </w:r>
          </w:p>
        </w:tc>
      </w:tr>
      <w:tr w:rsidR="00CB57D4" w:rsidRPr="008E6F33" w:rsidTr="00F121A2">
        <w:trPr>
          <w:jc w:val="center"/>
        </w:trPr>
        <w:tc>
          <w:tcPr>
            <w:tcW w:w="128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79" w:type="dxa"/>
          </w:tcPr>
          <w:p w:rsidR="00CB57D4" w:rsidRPr="008E6F3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 206</w:t>
            </w:r>
          </w:p>
        </w:tc>
        <w:tc>
          <w:tcPr>
            <w:tcW w:w="1275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351</w:t>
            </w:r>
          </w:p>
        </w:tc>
        <w:tc>
          <w:tcPr>
            <w:tcW w:w="1276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95" w:type="dxa"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22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  <w:tc>
          <w:tcPr>
            <w:tcW w:w="1199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98,58%</w:t>
            </w:r>
          </w:p>
        </w:tc>
        <w:tc>
          <w:tcPr>
            <w:tcW w:w="1131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92,34%</w:t>
            </w:r>
          </w:p>
        </w:tc>
      </w:tr>
      <w:tr w:rsidR="00CB57D4" w:rsidRPr="008E6F33" w:rsidTr="00F121A2">
        <w:trPr>
          <w:jc w:val="center"/>
        </w:trPr>
        <w:tc>
          <w:tcPr>
            <w:tcW w:w="128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79" w:type="dxa"/>
          </w:tcPr>
          <w:p w:rsidR="00CB57D4" w:rsidRPr="008E6F3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 207</w:t>
            </w:r>
          </w:p>
        </w:tc>
        <w:tc>
          <w:tcPr>
            <w:tcW w:w="1275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475</w:t>
            </w:r>
          </w:p>
        </w:tc>
        <w:tc>
          <w:tcPr>
            <w:tcW w:w="1276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5" w:type="dxa"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22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99,79%</w:t>
            </w:r>
          </w:p>
        </w:tc>
        <w:tc>
          <w:tcPr>
            <w:tcW w:w="1199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98,74%</w:t>
            </w:r>
          </w:p>
        </w:tc>
        <w:tc>
          <w:tcPr>
            <w:tcW w:w="1131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93,99%</w:t>
            </w:r>
          </w:p>
        </w:tc>
      </w:tr>
      <w:tr w:rsidR="00CB57D4" w:rsidRPr="008E6F33" w:rsidTr="00F121A2">
        <w:trPr>
          <w:jc w:val="center"/>
        </w:trPr>
        <w:tc>
          <w:tcPr>
            <w:tcW w:w="1281" w:type="dxa"/>
            <w:vMerge w:val="restart"/>
            <w:tcMar>
              <w:left w:w="0" w:type="dxa"/>
              <w:right w:w="0" w:type="dxa"/>
            </w:tcMar>
            <w:vAlign w:val="center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«Господар»</w:t>
            </w:r>
          </w:p>
        </w:tc>
        <w:tc>
          <w:tcPr>
            <w:tcW w:w="1579" w:type="dxa"/>
          </w:tcPr>
          <w:p w:rsidR="00CB57D4" w:rsidRPr="008E6F3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 221</w:t>
            </w:r>
          </w:p>
        </w:tc>
        <w:tc>
          <w:tcPr>
            <w:tcW w:w="1275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921</w:t>
            </w:r>
          </w:p>
        </w:tc>
        <w:tc>
          <w:tcPr>
            <w:tcW w:w="1276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5" w:type="dxa"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22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  <w:tc>
          <w:tcPr>
            <w:tcW w:w="1199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99,78%</w:t>
            </w:r>
          </w:p>
        </w:tc>
        <w:tc>
          <w:tcPr>
            <w:tcW w:w="1131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96,91%</w:t>
            </w:r>
          </w:p>
        </w:tc>
      </w:tr>
      <w:tr w:rsidR="00CB57D4" w:rsidRPr="008E6F33" w:rsidTr="00F121A2">
        <w:trPr>
          <w:jc w:val="center"/>
        </w:trPr>
        <w:tc>
          <w:tcPr>
            <w:tcW w:w="1281" w:type="dxa"/>
            <w:vMerge/>
            <w:hideMark/>
          </w:tcPr>
          <w:p w:rsidR="00CB57D4" w:rsidRPr="008E6F3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79" w:type="dxa"/>
          </w:tcPr>
          <w:p w:rsidR="00CB57D4" w:rsidRPr="008E6F3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 222</w:t>
            </w:r>
          </w:p>
        </w:tc>
        <w:tc>
          <w:tcPr>
            <w:tcW w:w="1275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681</w:t>
            </w:r>
          </w:p>
        </w:tc>
        <w:tc>
          <w:tcPr>
            <w:tcW w:w="1276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995" w:type="dxa"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22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  <w:tc>
          <w:tcPr>
            <w:tcW w:w="1199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98,68%</w:t>
            </w:r>
          </w:p>
        </w:tc>
        <w:tc>
          <w:tcPr>
            <w:tcW w:w="1131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91,84%</w:t>
            </w:r>
          </w:p>
        </w:tc>
      </w:tr>
      <w:tr w:rsidR="00CB57D4" w:rsidRPr="008E6F33" w:rsidTr="00F121A2">
        <w:trPr>
          <w:jc w:val="center"/>
        </w:trPr>
        <w:tc>
          <w:tcPr>
            <w:tcW w:w="1281" w:type="dxa"/>
            <w:vMerge/>
            <w:hideMark/>
          </w:tcPr>
          <w:p w:rsidR="00CB57D4" w:rsidRPr="008E6F3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79" w:type="dxa"/>
          </w:tcPr>
          <w:p w:rsidR="00CB57D4" w:rsidRPr="008E6F3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 223</w:t>
            </w:r>
          </w:p>
        </w:tc>
        <w:tc>
          <w:tcPr>
            <w:tcW w:w="1275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1246</w:t>
            </w:r>
          </w:p>
        </w:tc>
        <w:tc>
          <w:tcPr>
            <w:tcW w:w="1276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995" w:type="dxa"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22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99,76%</w:t>
            </w:r>
          </w:p>
        </w:tc>
        <w:tc>
          <w:tcPr>
            <w:tcW w:w="1199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96,94%</w:t>
            </w:r>
          </w:p>
        </w:tc>
        <w:tc>
          <w:tcPr>
            <w:tcW w:w="1131" w:type="dxa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E6F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94,38%</w:t>
            </w:r>
          </w:p>
        </w:tc>
      </w:tr>
      <w:tr w:rsidR="00CB57D4" w:rsidRPr="00D15995" w:rsidTr="00F121A2">
        <w:trPr>
          <w:trHeight w:val="391"/>
          <w:jc w:val="center"/>
        </w:trPr>
        <w:tc>
          <w:tcPr>
            <w:tcW w:w="1281" w:type="dxa"/>
            <w:vAlign w:val="center"/>
            <w:hideMark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79" w:type="dxa"/>
            <w:vAlign w:val="center"/>
          </w:tcPr>
          <w:p w:rsidR="00CB57D4" w:rsidRPr="008E6F3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CB57D4" w:rsidRPr="007F6336" w:rsidRDefault="00CB57D4" w:rsidP="00F121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63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10787</w:t>
            </w:r>
          </w:p>
        </w:tc>
        <w:tc>
          <w:tcPr>
            <w:tcW w:w="1276" w:type="dxa"/>
            <w:vAlign w:val="center"/>
            <w:hideMark/>
          </w:tcPr>
          <w:p w:rsidR="00CB57D4" w:rsidRPr="00014277" w:rsidRDefault="00CB57D4" w:rsidP="00F121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7F63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995" w:type="dxa"/>
            <w:vAlign w:val="center"/>
          </w:tcPr>
          <w:p w:rsidR="00CB57D4" w:rsidRPr="00014277" w:rsidRDefault="00CB57D4" w:rsidP="00F121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1422" w:type="dxa"/>
            <w:vAlign w:val="center"/>
            <w:hideMark/>
          </w:tcPr>
          <w:p w:rsidR="00CB57D4" w:rsidRPr="00D15995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99" w:type="dxa"/>
            <w:vAlign w:val="center"/>
            <w:hideMark/>
          </w:tcPr>
          <w:p w:rsidR="00CB57D4" w:rsidRPr="00D15995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vAlign w:val="center"/>
            <w:hideMark/>
          </w:tcPr>
          <w:p w:rsidR="00CB57D4" w:rsidRPr="00D15995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CB57D4" w:rsidRDefault="00CB57D4" w:rsidP="00CB57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57D4" w:rsidRPr="003D4885" w:rsidRDefault="00CB57D4" w:rsidP="00CB57D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4885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підсумками 2014 року, </w:t>
      </w:r>
      <w:r w:rsidRPr="003D4885">
        <w:rPr>
          <w:rFonts w:ascii="Times New Roman" w:hAnsi="Times New Roman" w:cs="Times New Roman"/>
          <w:sz w:val="28"/>
          <w:szCs w:val="28"/>
          <w:lang w:val="uk-UA"/>
        </w:rPr>
        <w:t>залиш</w:t>
      </w:r>
      <w:r>
        <w:rPr>
          <w:rFonts w:ascii="Times New Roman" w:hAnsi="Times New Roman" w:cs="Times New Roman"/>
          <w:sz w:val="28"/>
          <w:szCs w:val="28"/>
          <w:lang w:val="uk-UA"/>
        </w:rPr>
        <w:t>ило</w:t>
      </w:r>
      <w:r w:rsidRPr="003D4885">
        <w:rPr>
          <w:rFonts w:ascii="Times New Roman" w:hAnsi="Times New Roman" w:cs="Times New Roman"/>
          <w:sz w:val="28"/>
          <w:szCs w:val="28"/>
          <w:lang w:val="uk-UA"/>
        </w:rPr>
        <w:t xml:space="preserve">ся не виконаними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726B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57 </w:t>
      </w:r>
      <w:r w:rsidRPr="002119F8">
        <w:rPr>
          <w:rFonts w:ascii="Times New Roman" w:hAnsi="Times New Roman" w:cs="Times New Roman"/>
          <w:b/>
          <w:sz w:val="28"/>
          <w:szCs w:val="28"/>
          <w:lang w:val="uk-UA"/>
        </w:rPr>
        <w:t>звернень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крім того </w:t>
      </w:r>
      <w:r w:rsidRPr="002553DD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звернення було розглянуто з порушенням встановлених строків.</w:t>
      </w:r>
    </w:p>
    <w:p w:rsidR="00CB57D4" w:rsidRDefault="00CB57D4" w:rsidP="00CB57D4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 підсумками 2014 року, с</w:t>
      </w:r>
      <w:r w:rsidRPr="00684F5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лід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визнати роботу ЖЕД 223, ЖЕД 203 та Відділу </w:t>
      </w:r>
      <w:r w:rsidRPr="006A55DE">
        <w:rPr>
          <w:rFonts w:ascii="Times New Roman" w:hAnsi="Times New Roman" w:cs="Times New Roman"/>
          <w:sz w:val="28"/>
          <w:szCs w:val="28"/>
          <w:lang w:val="uk-UA" w:eastAsia="ru-RU"/>
        </w:rPr>
        <w:t>будівництва, архітектури та розвитку інфраструктури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, в частині розгляду усних звернень незадовільною.</w:t>
      </w:r>
    </w:p>
    <w:p w:rsidR="00CB57D4" w:rsidRDefault="00CB57D4" w:rsidP="00CB57D4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Крім того, необхідно наголосити на збереженні сталої тенденції щодо загальної кількості невиконаних усних звернень, так станом на 01.01.2015 року не виконаними залишилось близько 10 % звернень.</w:t>
      </w:r>
    </w:p>
    <w:p w:rsidR="00CB57D4" w:rsidRPr="00FE7518" w:rsidRDefault="00CB57D4" w:rsidP="00CB57D4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E751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 світлі останніх подій, а саме </w:t>
      </w:r>
      <w:r w:rsidRPr="00FE7518">
        <w:rPr>
          <w:rFonts w:ascii="Times New Roman" w:hAnsi="Times New Roman" w:cs="Times New Roman"/>
          <w:sz w:val="28"/>
          <w:szCs w:val="28"/>
          <w:lang w:val="uk-UA"/>
        </w:rPr>
        <w:t>доручення голови Київської міської державної адміністрації від 17.12.2014 № 26272/22 щодо опрацювання листа Департаменту економіки та інвестицій виконавчого органу Київської міської ради (Київської міської державної адміністрації)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7518">
        <w:rPr>
          <w:rFonts w:ascii="Times New Roman" w:hAnsi="Times New Roman" w:cs="Times New Roman"/>
          <w:sz w:val="28"/>
          <w:szCs w:val="28"/>
          <w:lang w:val="uk-UA"/>
        </w:rPr>
        <w:t xml:space="preserve">050/04-8127 від 17.12.2014 </w:t>
      </w:r>
      <w:r w:rsidRPr="00FE7518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стосовно моніторингу соціально-економічного розвитку районів міста Києва н</w:t>
      </w:r>
      <w:r w:rsidRPr="00FE751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еобхідно наголосити, що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до рейтингу планується </w:t>
      </w:r>
      <w:r w:rsidRPr="00FE7518">
        <w:rPr>
          <w:rFonts w:ascii="Times New Roman" w:hAnsi="Times New Roman" w:cs="Times New Roman"/>
          <w:sz w:val="28"/>
          <w:szCs w:val="28"/>
          <w:lang w:val="uk-UA"/>
        </w:rPr>
        <w:t xml:space="preserve">включення пункту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кількості з</w:t>
      </w:r>
      <w:r w:rsidRPr="00FE7518">
        <w:rPr>
          <w:rFonts w:ascii="Times New Roman" w:hAnsi="Times New Roman" w:cs="Times New Roman"/>
          <w:sz w:val="28"/>
          <w:szCs w:val="28"/>
          <w:lang w:val="uk-UA"/>
        </w:rPr>
        <w:t>вернен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FE7518">
        <w:rPr>
          <w:rFonts w:ascii="Times New Roman" w:hAnsi="Times New Roman" w:cs="Times New Roman"/>
          <w:sz w:val="28"/>
          <w:szCs w:val="28"/>
          <w:lang w:val="uk-UA"/>
        </w:rPr>
        <w:t>, що були розглянуті виконавцем та закриті в контрольний термін (відповідь надана виконавц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ем не пізніше контрольної дати). Тобто мова йде про вчасно розглянуті усні звернення. </w:t>
      </w:r>
      <w:r w:rsidRPr="004F62A4">
        <w:rPr>
          <w:rFonts w:ascii="Times New Roman" w:hAnsi="Times New Roman" w:cs="Times New Roman"/>
          <w:i/>
          <w:sz w:val="28"/>
          <w:szCs w:val="28"/>
          <w:lang w:val="uk-UA"/>
        </w:rPr>
        <w:t>(виділено кольором слайд 3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CB57D4" w:rsidRDefault="00CB57D4" w:rsidP="00CB57D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57D4" w:rsidRDefault="00CB57D4" w:rsidP="00CB57D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</w:pPr>
      <w:r w:rsidRPr="004F3C2A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аналізу </w:t>
      </w:r>
      <w:r w:rsidRPr="004F3C2A"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  <w:t>тематики</w:t>
      </w:r>
      <w:r w:rsidRPr="004F3C2A">
        <w:rPr>
          <w:rFonts w:ascii="Times New Roman" w:hAnsi="Times New Roman" w:cs="Times New Roman"/>
          <w:sz w:val="28"/>
          <w:szCs w:val="28"/>
          <w:lang w:val="uk-UA"/>
        </w:rPr>
        <w:t xml:space="preserve"> усних звернень за </w:t>
      </w:r>
      <w:r w:rsidRPr="004F3C2A"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  <w:t xml:space="preserve">2014 року </w:t>
      </w:r>
      <w:r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  <w:t xml:space="preserve">найбільш болючими питаннями для </w:t>
      </w:r>
      <w:r w:rsidRPr="004F3C2A"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  <w:t xml:space="preserve">мешканців </w:t>
      </w:r>
      <w:r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  <w:t>стали:</w:t>
      </w:r>
      <w:r w:rsidRPr="004F3C2A"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  <w:t>ГВП</w:t>
      </w:r>
      <w:proofErr w:type="spellEnd"/>
      <w:r w:rsidRPr="004F3C2A"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  <w:t xml:space="preserve">питання </w:t>
      </w:r>
      <w:r w:rsidRPr="004F3C2A"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  <w:t xml:space="preserve">благоустрою, </w:t>
      </w:r>
      <w:r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  <w:t>опалення, утримання будинків тощо.</w:t>
      </w:r>
    </w:p>
    <w:p w:rsidR="00CB57D4" w:rsidRPr="003D4885" w:rsidRDefault="00CB57D4" w:rsidP="00CB57D4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3D4885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Слайд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4(ТОП 15 проблемних питань Дарницького району).</w:t>
      </w:r>
    </w:p>
    <w:p w:rsidR="00CB57D4" w:rsidRDefault="00CB57D4" w:rsidP="00CB57D4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Проблемні питання </w:t>
      </w:r>
      <w:r w:rsidRPr="003D48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громадян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що надійшли </w:t>
      </w:r>
      <w:r w:rsidRPr="003D48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від КБУ «Контактний центр міста Києва» за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підсумками </w:t>
      </w:r>
      <w:r w:rsidRPr="003D48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2014 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</w:t>
      </w:r>
      <w:r w:rsidRPr="003D48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у.</w:t>
      </w:r>
    </w:p>
    <w:p w:rsidR="00CB57D4" w:rsidRPr="00815F6C" w:rsidRDefault="00CB57D4" w:rsidP="00CB57D4">
      <w:pPr>
        <w:tabs>
          <w:tab w:val="left" w:pos="142"/>
          <w:tab w:val="left" w:pos="1230"/>
        </w:tabs>
        <w:spacing w:after="0" w:line="240" w:lineRule="auto"/>
        <w:ind w:firstLine="708"/>
        <w:jc w:val="right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815F6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823"/>
        <w:gridCol w:w="1941"/>
        <w:gridCol w:w="1894"/>
      </w:tblGrid>
      <w:tr w:rsidR="00CB57D4" w:rsidRPr="002B7347" w:rsidTr="00F121A2">
        <w:tc>
          <w:tcPr>
            <w:tcW w:w="456" w:type="dxa"/>
            <w:hideMark/>
          </w:tcPr>
          <w:p w:rsidR="00CB57D4" w:rsidRPr="002B7347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823" w:type="dxa"/>
            <w:hideMark/>
          </w:tcPr>
          <w:p w:rsidR="00CB57D4" w:rsidRPr="002B7347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Класифікатор питань</w:t>
            </w:r>
          </w:p>
        </w:tc>
        <w:tc>
          <w:tcPr>
            <w:tcW w:w="1941" w:type="dxa"/>
            <w:hideMark/>
          </w:tcPr>
          <w:p w:rsidR="00CB57D4" w:rsidRPr="002B7347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894" w:type="dxa"/>
          </w:tcPr>
          <w:p w:rsidR="00CB57D4" w:rsidRPr="002B7347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</w:tr>
      <w:tr w:rsidR="00CB57D4" w:rsidRPr="002B7347" w:rsidTr="00F121A2">
        <w:tc>
          <w:tcPr>
            <w:tcW w:w="456" w:type="dxa"/>
            <w:vAlign w:val="center"/>
            <w:hideMark/>
          </w:tcPr>
          <w:p w:rsidR="00CB57D4" w:rsidRPr="002B7347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3" w:type="dxa"/>
            <w:vAlign w:val="bottom"/>
            <w:hideMark/>
          </w:tcPr>
          <w:p w:rsidR="00CB57D4" w:rsidRPr="00D4037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Відсутність </w:t>
            </w:r>
            <w:proofErr w:type="spellStart"/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ГВП</w:t>
            </w:r>
            <w:proofErr w:type="spellEnd"/>
          </w:p>
        </w:tc>
        <w:tc>
          <w:tcPr>
            <w:tcW w:w="1941" w:type="dxa"/>
            <w:vAlign w:val="center"/>
            <w:hideMark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2547</w:t>
            </w:r>
          </w:p>
        </w:tc>
        <w:tc>
          <w:tcPr>
            <w:tcW w:w="1894" w:type="dxa"/>
            <w:vAlign w:val="center"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15%</w:t>
            </w:r>
          </w:p>
        </w:tc>
      </w:tr>
      <w:tr w:rsidR="00CB57D4" w:rsidRPr="002B7347" w:rsidTr="00F121A2">
        <w:tc>
          <w:tcPr>
            <w:tcW w:w="456" w:type="dxa"/>
            <w:vAlign w:val="center"/>
            <w:hideMark/>
          </w:tcPr>
          <w:p w:rsidR="00CB57D4" w:rsidRPr="002B7347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3" w:type="dxa"/>
            <w:vAlign w:val="bottom"/>
            <w:hideMark/>
          </w:tcPr>
          <w:p w:rsidR="00CB57D4" w:rsidRPr="00D4037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Незадовільна температура </w:t>
            </w:r>
            <w:proofErr w:type="spellStart"/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ГВП</w:t>
            </w:r>
            <w:proofErr w:type="spellEnd"/>
          </w:p>
        </w:tc>
        <w:tc>
          <w:tcPr>
            <w:tcW w:w="1941" w:type="dxa"/>
            <w:vAlign w:val="center"/>
            <w:hideMark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821</w:t>
            </w:r>
          </w:p>
        </w:tc>
        <w:tc>
          <w:tcPr>
            <w:tcW w:w="1894" w:type="dxa"/>
            <w:vAlign w:val="center"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5%</w:t>
            </w:r>
          </w:p>
        </w:tc>
      </w:tr>
      <w:tr w:rsidR="00CB57D4" w:rsidRPr="002B7347" w:rsidTr="00F121A2">
        <w:tc>
          <w:tcPr>
            <w:tcW w:w="456" w:type="dxa"/>
            <w:vAlign w:val="center"/>
            <w:hideMark/>
          </w:tcPr>
          <w:p w:rsidR="00CB57D4" w:rsidRPr="002B7347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3" w:type="dxa"/>
            <w:vAlign w:val="bottom"/>
            <w:hideMark/>
          </w:tcPr>
          <w:p w:rsidR="00CB57D4" w:rsidRPr="00D4037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Перевірка дозвільної документації, демонтаж кіосків, </w:t>
            </w:r>
            <w:proofErr w:type="spellStart"/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ларків</w:t>
            </w:r>
            <w:proofErr w:type="spellEnd"/>
          </w:p>
        </w:tc>
        <w:tc>
          <w:tcPr>
            <w:tcW w:w="1941" w:type="dxa"/>
            <w:vAlign w:val="center"/>
            <w:hideMark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559</w:t>
            </w:r>
          </w:p>
        </w:tc>
        <w:tc>
          <w:tcPr>
            <w:tcW w:w="1894" w:type="dxa"/>
            <w:vAlign w:val="center"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3%</w:t>
            </w:r>
          </w:p>
        </w:tc>
      </w:tr>
      <w:tr w:rsidR="00CB57D4" w:rsidRPr="002B7347" w:rsidTr="00F121A2">
        <w:tc>
          <w:tcPr>
            <w:tcW w:w="456" w:type="dxa"/>
            <w:vAlign w:val="center"/>
            <w:hideMark/>
          </w:tcPr>
          <w:p w:rsidR="00CB57D4" w:rsidRPr="002B7347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3" w:type="dxa"/>
            <w:vAlign w:val="bottom"/>
            <w:hideMark/>
          </w:tcPr>
          <w:p w:rsidR="00CB57D4" w:rsidRPr="00D4037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 працює пасажирський ліфт</w:t>
            </w:r>
          </w:p>
        </w:tc>
        <w:tc>
          <w:tcPr>
            <w:tcW w:w="1941" w:type="dxa"/>
            <w:vAlign w:val="center"/>
            <w:hideMark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522</w:t>
            </w:r>
          </w:p>
        </w:tc>
        <w:tc>
          <w:tcPr>
            <w:tcW w:w="1894" w:type="dxa"/>
            <w:vAlign w:val="center"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3%</w:t>
            </w:r>
          </w:p>
        </w:tc>
      </w:tr>
      <w:tr w:rsidR="00CB57D4" w:rsidRPr="002B7347" w:rsidTr="00F121A2">
        <w:tc>
          <w:tcPr>
            <w:tcW w:w="456" w:type="dxa"/>
            <w:vAlign w:val="center"/>
            <w:hideMark/>
          </w:tcPr>
          <w:p w:rsidR="00CB57D4" w:rsidRPr="002B7347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3" w:type="dxa"/>
            <w:vAlign w:val="bottom"/>
            <w:hideMark/>
          </w:tcPr>
          <w:p w:rsidR="00CB57D4" w:rsidRPr="00D4037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Освітлення в приміщенні й при вході в нього</w:t>
            </w:r>
          </w:p>
        </w:tc>
        <w:tc>
          <w:tcPr>
            <w:tcW w:w="1941" w:type="dxa"/>
            <w:vAlign w:val="center"/>
            <w:hideMark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506</w:t>
            </w:r>
          </w:p>
        </w:tc>
        <w:tc>
          <w:tcPr>
            <w:tcW w:w="1894" w:type="dxa"/>
            <w:vAlign w:val="center"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3%</w:t>
            </w:r>
          </w:p>
        </w:tc>
      </w:tr>
      <w:tr w:rsidR="00CB57D4" w:rsidRPr="002B7347" w:rsidTr="00F121A2">
        <w:tc>
          <w:tcPr>
            <w:tcW w:w="456" w:type="dxa"/>
            <w:vAlign w:val="center"/>
            <w:hideMark/>
          </w:tcPr>
          <w:p w:rsidR="00CB57D4" w:rsidRPr="002B7347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23" w:type="dxa"/>
            <w:vAlign w:val="bottom"/>
            <w:hideMark/>
          </w:tcPr>
          <w:p w:rsidR="00CB57D4" w:rsidRPr="00D4037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Відсутність опалення</w:t>
            </w:r>
          </w:p>
        </w:tc>
        <w:tc>
          <w:tcPr>
            <w:tcW w:w="1941" w:type="dxa"/>
            <w:vAlign w:val="center"/>
            <w:hideMark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504</w:t>
            </w:r>
          </w:p>
        </w:tc>
        <w:tc>
          <w:tcPr>
            <w:tcW w:w="1894" w:type="dxa"/>
            <w:vAlign w:val="center"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3%</w:t>
            </w:r>
          </w:p>
        </w:tc>
      </w:tr>
      <w:tr w:rsidR="00CB57D4" w:rsidRPr="002B7347" w:rsidTr="00F121A2">
        <w:tc>
          <w:tcPr>
            <w:tcW w:w="456" w:type="dxa"/>
            <w:vAlign w:val="center"/>
            <w:hideMark/>
          </w:tcPr>
          <w:p w:rsidR="00CB57D4" w:rsidRPr="002B7347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23" w:type="dxa"/>
            <w:vAlign w:val="bottom"/>
            <w:hideMark/>
          </w:tcPr>
          <w:p w:rsidR="00CB57D4" w:rsidRPr="00D4037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Відсутність опалення по стояку</w:t>
            </w:r>
          </w:p>
        </w:tc>
        <w:tc>
          <w:tcPr>
            <w:tcW w:w="1941" w:type="dxa"/>
            <w:vAlign w:val="center"/>
            <w:hideMark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446</w:t>
            </w:r>
          </w:p>
        </w:tc>
        <w:tc>
          <w:tcPr>
            <w:tcW w:w="1894" w:type="dxa"/>
            <w:vAlign w:val="center"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3%</w:t>
            </w:r>
          </w:p>
        </w:tc>
      </w:tr>
      <w:tr w:rsidR="00CB57D4" w:rsidRPr="002B7347" w:rsidTr="00F121A2">
        <w:tc>
          <w:tcPr>
            <w:tcW w:w="456" w:type="dxa"/>
            <w:vAlign w:val="center"/>
            <w:hideMark/>
          </w:tcPr>
          <w:p w:rsidR="00CB57D4" w:rsidRPr="002B7347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23" w:type="dxa"/>
            <w:vAlign w:val="bottom"/>
            <w:hideMark/>
          </w:tcPr>
          <w:p w:rsidR="00CB57D4" w:rsidRPr="00D4037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Відсутнє ХВП</w:t>
            </w:r>
          </w:p>
        </w:tc>
        <w:tc>
          <w:tcPr>
            <w:tcW w:w="1941" w:type="dxa"/>
            <w:vAlign w:val="center"/>
            <w:hideMark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442</w:t>
            </w:r>
          </w:p>
        </w:tc>
        <w:tc>
          <w:tcPr>
            <w:tcW w:w="1894" w:type="dxa"/>
            <w:vAlign w:val="center"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3%</w:t>
            </w:r>
          </w:p>
        </w:tc>
      </w:tr>
      <w:tr w:rsidR="00CB57D4" w:rsidRPr="002B7347" w:rsidTr="00F121A2">
        <w:tc>
          <w:tcPr>
            <w:tcW w:w="456" w:type="dxa"/>
            <w:vAlign w:val="center"/>
            <w:hideMark/>
          </w:tcPr>
          <w:p w:rsidR="00CB57D4" w:rsidRPr="002B7347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3" w:type="dxa"/>
            <w:vAlign w:val="bottom"/>
            <w:hideMark/>
          </w:tcPr>
          <w:p w:rsidR="00CB57D4" w:rsidRPr="00D4037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Незадовільна температура опалення</w:t>
            </w:r>
          </w:p>
        </w:tc>
        <w:tc>
          <w:tcPr>
            <w:tcW w:w="1941" w:type="dxa"/>
            <w:vAlign w:val="center"/>
            <w:hideMark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428</w:t>
            </w:r>
          </w:p>
        </w:tc>
        <w:tc>
          <w:tcPr>
            <w:tcW w:w="1894" w:type="dxa"/>
            <w:vAlign w:val="center"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2%</w:t>
            </w:r>
          </w:p>
        </w:tc>
      </w:tr>
      <w:tr w:rsidR="00CB57D4" w:rsidRPr="002B7347" w:rsidTr="00F121A2">
        <w:tc>
          <w:tcPr>
            <w:tcW w:w="456" w:type="dxa"/>
            <w:vAlign w:val="center"/>
            <w:hideMark/>
          </w:tcPr>
          <w:p w:rsidR="00CB57D4" w:rsidRPr="002B7347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3" w:type="dxa"/>
            <w:vAlign w:val="bottom"/>
            <w:hideMark/>
          </w:tcPr>
          <w:p w:rsidR="00CB57D4" w:rsidRPr="00D4037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Перерахунок та нарахування плати за інші види житлово-комунальних послуг</w:t>
            </w:r>
          </w:p>
        </w:tc>
        <w:tc>
          <w:tcPr>
            <w:tcW w:w="1941" w:type="dxa"/>
            <w:vAlign w:val="center"/>
            <w:hideMark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387</w:t>
            </w:r>
          </w:p>
        </w:tc>
        <w:tc>
          <w:tcPr>
            <w:tcW w:w="1894" w:type="dxa"/>
            <w:vAlign w:val="center"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2%</w:t>
            </w:r>
          </w:p>
        </w:tc>
      </w:tr>
      <w:tr w:rsidR="00CB57D4" w:rsidRPr="002B7347" w:rsidTr="00F121A2">
        <w:tc>
          <w:tcPr>
            <w:tcW w:w="456" w:type="dxa"/>
            <w:vAlign w:val="center"/>
            <w:hideMark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823" w:type="dxa"/>
            <w:vAlign w:val="bottom"/>
            <w:hideMark/>
          </w:tcPr>
          <w:p w:rsidR="00CB57D4" w:rsidRPr="00D4037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Відсутнє електропостачання</w:t>
            </w:r>
          </w:p>
        </w:tc>
        <w:tc>
          <w:tcPr>
            <w:tcW w:w="1941" w:type="dxa"/>
            <w:vAlign w:val="center"/>
            <w:hideMark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386</w:t>
            </w:r>
          </w:p>
        </w:tc>
        <w:tc>
          <w:tcPr>
            <w:tcW w:w="1894" w:type="dxa"/>
            <w:vAlign w:val="center"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2%</w:t>
            </w:r>
          </w:p>
        </w:tc>
      </w:tr>
      <w:tr w:rsidR="00CB57D4" w:rsidRPr="002B7347" w:rsidTr="00F121A2">
        <w:tc>
          <w:tcPr>
            <w:tcW w:w="456" w:type="dxa"/>
            <w:vAlign w:val="center"/>
            <w:hideMark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823" w:type="dxa"/>
            <w:vAlign w:val="bottom"/>
            <w:hideMark/>
          </w:tcPr>
          <w:p w:rsidR="00CB57D4" w:rsidRPr="00D4037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ГЛ "Несанкціонована торгівля"</w:t>
            </w:r>
          </w:p>
        </w:tc>
        <w:tc>
          <w:tcPr>
            <w:tcW w:w="1941" w:type="dxa"/>
            <w:vAlign w:val="center"/>
            <w:hideMark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330</w:t>
            </w:r>
          </w:p>
        </w:tc>
        <w:tc>
          <w:tcPr>
            <w:tcW w:w="1894" w:type="dxa"/>
            <w:vAlign w:val="center"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2%</w:t>
            </w:r>
          </w:p>
        </w:tc>
      </w:tr>
      <w:tr w:rsidR="00CB57D4" w:rsidRPr="002B7347" w:rsidTr="00F121A2">
        <w:tc>
          <w:tcPr>
            <w:tcW w:w="456" w:type="dxa"/>
            <w:vAlign w:val="center"/>
            <w:hideMark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823" w:type="dxa"/>
            <w:vAlign w:val="bottom"/>
            <w:hideMark/>
          </w:tcPr>
          <w:p w:rsidR="00CB57D4" w:rsidRPr="00D4037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Ремонт дахів</w:t>
            </w:r>
          </w:p>
        </w:tc>
        <w:tc>
          <w:tcPr>
            <w:tcW w:w="1941" w:type="dxa"/>
            <w:vAlign w:val="center"/>
            <w:hideMark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321</w:t>
            </w:r>
          </w:p>
        </w:tc>
        <w:tc>
          <w:tcPr>
            <w:tcW w:w="1894" w:type="dxa"/>
            <w:vAlign w:val="center"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2%</w:t>
            </w:r>
          </w:p>
        </w:tc>
      </w:tr>
      <w:tr w:rsidR="00CB57D4" w:rsidRPr="002B7347" w:rsidTr="00F121A2">
        <w:tc>
          <w:tcPr>
            <w:tcW w:w="456" w:type="dxa"/>
            <w:vAlign w:val="center"/>
            <w:hideMark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823" w:type="dxa"/>
            <w:vAlign w:val="bottom"/>
            <w:hideMark/>
          </w:tcPr>
          <w:p w:rsidR="00CB57D4" w:rsidRPr="00D4037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Укладання та ремонт асфальтного покриття</w:t>
            </w:r>
          </w:p>
        </w:tc>
        <w:tc>
          <w:tcPr>
            <w:tcW w:w="1941" w:type="dxa"/>
            <w:vAlign w:val="center"/>
            <w:hideMark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312</w:t>
            </w:r>
          </w:p>
        </w:tc>
        <w:tc>
          <w:tcPr>
            <w:tcW w:w="1894" w:type="dxa"/>
            <w:vAlign w:val="center"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2%</w:t>
            </w:r>
          </w:p>
        </w:tc>
      </w:tr>
      <w:tr w:rsidR="00CB57D4" w:rsidRPr="002B7347" w:rsidTr="00F121A2">
        <w:tc>
          <w:tcPr>
            <w:tcW w:w="456" w:type="dxa"/>
            <w:vAlign w:val="center"/>
            <w:hideMark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823" w:type="dxa"/>
            <w:vAlign w:val="bottom"/>
            <w:hideMark/>
          </w:tcPr>
          <w:p w:rsidR="00CB57D4" w:rsidRPr="00D40373" w:rsidRDefault="00CB57D4" w:rsidP="00F12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Встановлення та експлуатація лічильників на водопостачання</w:t>
            </w:r>
          </w:p>
        </w:tc>
        <w:tc>
          <w:tcPr>
            <w:tcW w:w="1941" w:type="dxa"/>
            <w:vAlign w:val="center"/>
            <w:hideMark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236</w:t>
            </w:r>
          </w:p>
        </w:tc>
        <w:tc>
          <w:tcPr>
            <w:tcW w:w="1894" w:type="dxa"/>
            <w:vAlign w:val="center"/>
          </w:tcPr>
          <w:p w:rsidR="00CB57D4" w:rsidRPr="00D40373" w:rsidRDefault="00CB57D4" w:rsidP="00F12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3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1%</w:t>
            </w:r>
          </w:p>
        </w:tc>
      </w:tr>
    </w:tbl>
    <w:p w:rsidR="00CB57D4" w:rsidRDefault="00CB57D4" w:rsidP="00CB57D4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CB57D4" w:rsidRDefault="00CB57D4" w:rsidP="00CB57D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позитивних здобутків необхідно віднести:</w:t>
      </w:r>
    </w:p>
    <w:p w:rsidR="00CB57D4" w:rsidRPr="00B76C1A" w:rsidRDefault="00CB57D4" w:rsidP="00CB57D4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підсумками 2014 року кількість відповідей на звернення, що надійшли на адресу урядової гарячої лінії та розглядалися в системі Дарницької РДА, та не були повернуті на доопрацювання, суттєво зменшилась та склала 87 проти 271 за минулий рік, за період 4-го кварталу на доопрацювання не повернулося жодного звернення.</w:t>
      </w:r>
    </w:p>
    <w:p w:rsidR="00CB57D4" w:rsidRPr="002A3186" w:rsidRDefault="00CB57D4" w:rsidP="00CB57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Завдяки спільним зусиллям було зрушено з мертвого місця питання пере адресації звернень належним виконавцем яких повинно бути 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Єврореконструкція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(раніше всі звернення, що стосувались </w:t>
      </w:r>
      <w:r w:rsidRPr="002A3186">
        <w:rPr>
          <w:rFonts w:ascii="Times New Roman" w:hAnsi="Times New Roman" w:cs="Times New Roman"/>
          <w:sz w:val="28"/>
          <w:szCs w:val="28"/>
          <w:lang w:val="uk-UA"/>
        </w:rPr>
        <w:t xml:space="preserve">зазначеної компанії направлялись на розгляд до </w:t>
      </w:r>
      <w:proofErr w:type="spellStart"/>
      <w:r w:rsidRPr="002A318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2A3186">
        <w:rPr>
          <w:rFonts w:ascii="Times New Roman" w:hAnsi="Times New Roman" w:cs="Times New Roman"/>
          <w:sz w:val="28"/>
          <w:szCs w:val="28"/>
          <w:lang w:val="uk-UA"/>
        </w:rPr>
        <w:t xml:space="preserve"> району та фактично не були виконаними в зв’язку з неможливістю). Доручення І.</w:t>
      </w:r>
      <w:proofErr w:type="spellStart"/>
      <w:r w:rsidRPr="002A3186">
        <w:rPr>
          <w:rFonts w:ascii="Times New Roman" w:hAnsi="Times New Roman" w:cs="Times New Roman"/>
          <w:sz w:val="28"/>
          <w:szCs w:val="28"/>
          <w:lang w:val="uk-UA"/>
        </w:rPr>
        <w:t>Ніконова</w:t>
      </w:r>
      <w:proofErr w:type="spellEnd"/>
      <w:r w:rsidRPr="002A3186">
        <w:rPr>
          <w:rFonts w:ascii="Times New Roman" w:hAnsi="Times New Roman" w:cs="Times New Roman"/>
          <w:sz w:val="28"/>
          <w:szCs w:val="28"/>
          <w:lang w:val="uk-UA"/>
        </w:rPr>
        <w:t xml:space="preserve"> від 19.12.2014 № 35136.</w:t>
      </w:r>
    </w:p>
    <w:p w:rsidR="00CB57D4" w:rsidRPr="002A3186" w:rsidRDefault="00CB57D4" w:rsidP="00CB57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A318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21 жовтня у рамках проекту «Прямий зв’язок з київською міською владою» на запитання столичних мешканців відповідав голова Дарницької в місті Києві районної адміністрації Геннадій Львович </w:t>
      </w:r>
      <w:proofErr w:type="spellStart"/>
      <w:r w:rsidRPr="002A318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Сінцов</w:t>
      </w:r>
      <w:proofErr w:type="spellEnd"/>
      <w:r w:rsidRPr="002A318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. Спілкування було організовано Контактний центром міста Києва. </w:t>
      </w:r>
      <w:r w:rsidRPr="002A3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Протягом години керівник району опрацював 12 дзвінків та 7 </w:t>
      </w:r>
      <w:proofErr w:type="spellStart"/>
      <w:r w:rsidRPr="002A3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інтернет-звернень</w:t>
      </w:r>
      <w:proofErr w:type="spellEnd"/>
      <w:r w:rsidRPr="002A3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пообіцяв якнайшвидше розібратися з усіма питаннями киян. Всі звернення були розглянуті у встановлений строк та надано обґрунтовані відповіді. Слайд 5.</w:t>
      </w:r>
    </w:p>
    <w:p w:rsidR="00CB57D4" w:rsidRPr="002A3186" w:rsidRDefault="00CB57D4" w:rsidP="00CB57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A3186">
        <w:rPr>
          <w:rFonts w:ascii="Times New Roman" w:hAnsi="Times New Roman"/>
          <w:sz w:val="28"/>
          <w:szCs w:val="28"/>
          <w:lang w:val="uk-UA"/>
        </w:rPr>
        <w:t xml:space="preserve">Підключено до програмно-апаратного комплексу КБУ «Контактний центр міста Києва» (ARM Call-центр) </w:t>
      </w:r>
      <w:r w:rsidRPr="002A3186">
        <w:rPr>
          <w:rFonts w:ascii="Times New Roman" w:hAnsi="Times New Roman"/>
          <w:color w:val="303030"/>
          <w:sz w:val="28"/>
          <w:szCs w:val="28"/>
          <w:shd w:val="clear" w:color="auto" w:fill="FFFFFF"/>
          <w:lang w:val="uk-UA"/>
        </w:rPr>
        <w:t>Дарницьк</w:t>
      </w:r>
      <w:r>
        <w:rPr>
          <w:rFonts w:ascii="Times New Roman" w:hAnsi="Times New Roman"/>
          <w:color w:val="303030"/>
          <w:sz w:val="28"/>
          <w:szCs w:val="28"/>
          <w:shd w:val="clear" w:color="auto" w:fill="FFFFFF"/>
          <w:lang w:val="uk-UA"/>
        </w:rPr>
        <w:t>е</w:t>
      </w:r>
      <w:r w:rsidRPr="002A3186">
        <w:rPr>
          <w:rFonts w:ascii="Times New Roman" w:hAnsi="Times New Roman"/>
          <w:color w:val="303030"/>
          <w:sz w:val="28"/>
          <w:szCs w:val="28"/>
          <w:shd w:val="clear" w:color="auto" w:fill="FFFFFF"/>
          <w:lang w:val="uk-UA"/>
        </w:rPr>
        <w:t xml:space="preserve"> РУ ГУМВС України в м. Києві, що значно спростило розгляд звернень та </w:t>
      </w:r>
      <w:r>
        <w:rPr>
          <w:rFonts w:ascii="Times New Roman" w:hAnsi="Times New Roman"/>
          <w:color w:val="303030"/>
          <w:sz w:val="28"/>
          <w:szCs w:val="28"/>
          <w:shd w:val="clear" w:color="auto" w:fill="FFFFFF"/>
          <w:lang w:val="uk-UA"/>
        </w:rPr>
        <w:t xml:space="preserve">зменшило строки </w:t>
      </w:r>
      <w:r w:rsidRPr="002A3186">
        <w:rPr>
          <w:rFonts w:ascii="Times New Roman" w:hAnsi="Times New Roman"/>
          <w:color w:val="303030"/>
          <w:sz w:val="28"/>
          <w:szCs w:val="28"/>
          <w:shd w:val="clear" w:color="auto" w:fill="FFFFFF"/>
          <w:lang w:val="uk-UA"/>
        </w:rPr>
        <w:t xml:space="preserve">їх </w:t>
      </w:r>
      <w:r>
        <w:rPr>
          <w:rFonts w:ascii="Times New Roman" w:hAnsi="Times New Roman"/>
          <w:color w:val="303030"/>
          <w:sz w:val="28"/>
          <w:szCs w:val="28"/>
          <w:shd w:val="clear" w:color="auto" w:fill="FFFFFF"/>
          <w:lang w:val="uk-UA"/>
        </w:rPr>
        <w:t>розгляду.</w:t>
      </w:r>
    </w:p>
    <w:p w:rsidR="00CB57D4" w:rsidRPr="007F39B8" w:rsidRDefault="00CB57D4" w:rsidP="00CB57D4">
      <w:pPr>
        <w:numPr>
          <w:ilvl w:val="0"/>
          <w:numId w:val="1"/>
        </w:numPr>
        <w:spacing w:after="0" w:line="240" w:lineRule="auto"/>
        <w:jc w:val="both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Протягом 2014 року на адресу райдержадміністрації та комунальних підприємств району загалом надійшло 136 подяк результатом чого стало оперативне реагування на звернення та їх позитивне вирішення.</w:t>
      </w:r>
    </w:p>
    <w:p w:rsidR="00CB57D4" w:rsidRDefault="00CB57D4" w:rsidP="00CB57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57D4" w:rsidRPr="003D4885" w:rsidRDefault="00CB57D4" w:rsidP="00CB57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36C9">
        <w:rPr>
          <w:rFonts w:ascii="Times New Roman" w:hAnsi="Times New Roman" w:cs="Times New Roman"/>
          <w:sz w:val="28"/>
          <w:szCs w:val="28"/>
          <w:lang w:val="uk-UA"/>
        </w:rPr>
        <w:t>Вибірка та аналітичні підрахунки проводились за період 01.01.2014 00:00 по 31.12.2014 23:59. Час проведення 22.01.2015 з 14:00 по 17:00.</w:t>
      </w:r>
    </w:p>
    <w:p w:rsidR="00CB57D4" w:rsidRDefault="00CB57D4" w:rsidP="00CB57D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57D4" w:rsidRPr="003D4885" w:rsidRDefault="00CB57D4" w:rsidP="00CB57D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57D4" w:rsidRDefault="00CB57D4" w:rsidP="00CB57D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885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відділу </w:t>
      </w:r>
    </w:p>
    <w:p w:rsidR="00CB57D4" w:rsidRDefault="00CB57D4" w:rsidP="00CB57D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885">
        <w:rPr>
          <w:rFonts w:ascii="Times New Roman" w:hAnsi="Times New Roman" w:cs="Times New Roman"/>
          <w:sz w:val="28"/>
          <w:szCs w:val="28"/>
          <w:lang w:val="uk-UA"/>
        </w:rPr>
        <w:t>роботи із зверненнями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885">
        <w:rPr>
          <w:rFonts w:ascii="Times New Roman" w:hAnsi="Times New Roman" w:cs="Times New Roman"/>
          <w:sz w:val="28"/>
          <w:szCs w:val="28"/>
          <w:lang w:val="uk-UA"/>
        </w:rPr>
        <w:t xml:space="preserve">Р.С. </w:t>
      </w:r>
      <w:proofErr w:type="spellStart"/>
      <w:r w:rsidRPr="003D4885">
        <w:rPr>
          <w:rFonts w:ascii="Times New Roman" w:hAnsi="Times New Roman" w:cs="Times New Roman"/>
          <w:sz w:val="28"/>
          <w:szCs w:val="28"/>
          <w:lang w:val="uk-UA"/>
        </w:rPr>
        <w:t>Бутенко</w:t>
      </w:r>
      <w:proofErr w:type="spellEnd"/>
    </w:p>
    <w:p w:rsidR="00CB57D4" w:rsidRDefault="00CB57D4" w:rsidP="00CB57D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57D4" w:rsidRPr="003D4885" w:rsidRDefault="00CB57D4" w:rsidP="00CB57D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57D4" w:rsidRPr="003D4885" w:rsidRDefault="00CB57D4" w:rsidP="00CB57D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5069"/>
        <w:gridCol w:w="5069"/>
      </w:tblGrid>
      <w:tr w:rsidR="00CB57D4" w:rsidRPr="003D4885" w:rsidTr="00F121A2">
        <w:tc>
          <w:tcPr>
            <w:tcW w:w="5069" w:type="dxa"/>
          </w:tcPr>
          <w:p w:rsidR="00CB57D4" w:rsidRPr="003D4885" w:rsidRDefault="00CB57D4" w:rsidP="00F121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4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ПОГОДЖЕНО</w:t>
            </w:r>
          </w:p>
          <w:p w:rsidR="00CB57D4" w:rsidRDefault="00CB57D4" w:rsidP="00F121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 апарату </w:t>
            </w:r>
          </w:p>
          <w:p w:rsidR="00CB57D4" w:rsidRPr="003D4885" w:rsidRDefault="00CB57D4" w:rsidP="00F121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4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Дарницької РДА</w:t>
            </w:r>
          </w:p>
          <w:p w:rsidR="00CB57D4" w:rsidRPr="003D4885" w:rsidRDefault="00CB57D4" w:rsidP="00F121A2">
            <w:pPr>
              <w:spacing w:after="0" w:line="240" w:lineRule="auto"/>
              <w:ind w:firstLine="708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57D4" w:rsidRPr="003D4885" w:rsidRDefault="00CB57D4" w:rsidP="00F121A2">
            <w:pPr>
              <w:spacing w:after="0" w:line="240" w:lineRule="auto"/>
              <w:ind w:firstLine="708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57D4" w:rsidRPr="003D4885" w:rsidRDefault="00CB57D4" w:rsidP="00F121A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D4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______________________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</w:t>
            </w:r>
            <w:r w:rsidRPr="003D48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D48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елюк</w:t>
            </w:r>
            <w:proofErr w:type="spellEnd"/>
          </w:p>
        </w:tc>
        <w:tc>
          <w:tcPr>
            <w:tcW w:w="5069" w:type="dxa"/>
          </w:tcPr>
          <w:p w:rsidR="00CB57D4" w:rsidRPr="003D4885" w:rsidRDefault="00CB57D4" w:rsidP="00F121A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:rsidR="00CB57D4" w:rsidRPr="003D4885" w:rsidRDefault="00CB57D4" w:rsidP="00CB57D4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B57D4" w:rsidRPr="003D4885" w:rsidRDefault="00CB57D4" w:rsidP="00CB57D4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7170C" w:rsidRPr="00CB57D4" w:rsidRDefault="00CB57D4">
      <w:pPr>
        <w:rPr>
          <w:lang w:val="uk-UA"/>
        </w:rPr>
      </w:pPr>
    </w:p>
    <w:sectPr w:rsidR="0047170C" w:rsidRPr="00CB57D4" w:rsidSect="001B1AB4">
      <w:pgSz w:w="11905" w:h="16837"/>
      <w:pgMar w:top="568" w:right="567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12B5B"/>
    <w:multiLevelType w:val="hybridMultilevel"/>
    <w:tmpl w:val="B16C2E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7D4"/>
    <w:rsid w:val="00AD0D77"/>
    <w:rsid w:val="00AE64D3"/>
    <w:rsid w:val="00CB57D4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D4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57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1251</Words>
  <Characters>7133</Characters>
  <Application>Microsoft Office Word</Application>
  <DocSecurity>0</DocSecurity>
  <Lines>59</Lines>
  <Paragraphs>16</Paragraphs>
  <ScaleCrop>false</ScaleCrop>
  <Company/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2015-02-04T12:39:00Z</dcterms:created>
  <dcterms:modified xsi:type="dcterms:W3CDTF">2015-02-04T12:39:00Z</dcterms:modified>
</cp:coreProperties>
</file>