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07" w:rsidRPr="003D4885" w:rsidRDefault="00185B07" w:rsidP="00185B07">
      <w:pPr>
        <w:tabs>
          <w:tab w:val="left" w:pos="142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185B07" w:rsidRDefault="00185B07" w:rsidP="00185B0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для розгляду на апаратній нараді </w:t>
      </w:r>
    </w:p>
    <w:p w:rsidR="00185B07" w:rsidRPr="003D4885" w:rsidRDefault="00185B07" w:rsidP="00185B0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185B07" w:rsidRPr="003D4885" w:rsidRDefault="00185B07" w:rsidP="00185B0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14.10</w:t>
      </w: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>.2014</w:t>
      </w:r>
    </w:p>
    <w:p w:rsidR="00185B07" w:rsidRPr="003D4885" w:rsidRDefault="00185B07" w:rsidP="00185B0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з питання: </w:t>
      </w: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стан виконання структурними підрозділами райдержадміністрації та службами району усних звернень мешканців Дарницького району до КБУ «Контактний центр міста Києва» </w:t>
      </w:r>
    </w:p>
    <w:p w:rsidR="00185B07" w:rsidRPr="003D4885" w:rsidRDefault="00185B07" w:rsidP="00185B0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підсумками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 місяців</w:t>
      </w: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2014 року».</w:t>
      </w:r>
    </w:p>
    <w:p w:rsidR="00185B07" w:rsidRPr="003D4885" w:rsidRDefault="00185B07" w:rsidP="00185B07">
      <w:pPr>
        <w:tabs>
          <w:tab w:val="left" w:pos="142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B07" w:rsidRDefault="00185B07" w:rsidP="00185B07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період 01.01.2014 – 30.09.2014 на розгляд до Дарницької районної в місті Києві державної адміністрації надійшло та було опрацьовано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11817 </w:t>
      </w:r>
      <w:r w:rsidRPr="00A9446E">
        <w:rPr>
          <w:rFonts w:ascii="Times New Roman" w:hAnsi="Times New Roman" w:cs="Times New Roman"/>
          <w:sz w:val="28"/>
          <w:szCs w:val="28"/>
          <w:lang w:val="uk-UA"/>
        </w:rPr>
        <w:t>усних 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944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6824</w:t>
      </w:r>
      <w:r w:rsidRPr="00A9446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впливають на рейтингову оцінку.</w:t>
      </w:r>
    </w:p>
    <w:p w:rsidR="00185B07" w:rsidRDefault="00185B07" w:rsidP="00185B07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Помітних сплесків активності мешканців за період 3-го кварталу помічено не було.</w:t>
      </w:r>
    </w:p>
    <w:p w:rsidR="00185B07" w:rsidRPr="003D4885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Слайд 1</w:t>
      </w:r>
    </w:p>
    <w:p w:rsidR="00185B07" w:rsidRPr="003D4885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Розгляд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структурними підрозділами та комунальними підприємствами району </w:t>
      </w:r>
      <w:r w:rsidRPr="00A9446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рейтингових звернень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що надійшли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від КБУ «Контактний центр міста Києва» за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9 місяців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2014 року</w:t>
      </w:r>
    </w:p>
    <w:p w:rsidR="00185B07" w:rsidRPr="003D4885" w:rsidRDefault="00185B07" w:rsidP="00185B07">
      <w:pPr>
        <w:tabs>
          <w:tab w:val="left" w:pos="0"/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1579"/>
        <w:gridCol w:w="1275"/>
        <w:gridCol w:w="1276"/>
        <w:gridCol w:w="1422"/>
        <w:gridCol w:w="1131"/>
        <w:gridCol w:w="1131"/>
      </w:tblGrid>
      <w:tr w:rsidR="00185B07" w:rsidRPr="00D15995" w:rsidTr="00E43A87">
        <w:trPr>
          <w:trHeight w:val="758"/>
          <w:jc w:val="center"/>
        </w:trPr>
        <w:tc>
          <w:tcPr>
            <w:tcW w:w="2860" w:type="dxa"/>
            <w:gridSpan w:val="2"/>
            <w:tcMar>
              <w:left w:w="0" w:type="dxa"/>
              <w:right w:w="0" w:type="dxa"/>
            </w:tcMar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  <w:t>Структурні підрозділи та комунальні підприємства району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Кількість</w:t>
            </w: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звернень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Не</w:t>
            </w: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виконано</w:t>
            </w:r>
          </w:p>
        </w:tc>
        <w:tc>
          <w:tcPr>
            <w:tcW w:w="1422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%</w:t>
            </w: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вчасно</w:t>
            </w: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закритих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% </w:t>
            </w:r>
            <w:proofErr w:type="spellStart"/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викон</w:t>
            </w:r>
            <w:proofErr w:type="spellEnd"/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</w:t>
            </w: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без </w:t>
            </w:r>
            <w:proofErr w:type="spellStart"/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урах</w:t>
            </w:r>
            <w:proofErr w:type="spellEnd"/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.</w:t>
            </w: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</w:r>
            <w:proofErr w:type="spellStart"/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продзвону</w:t>
            </w:r>
            <w:proofErr w:type="spellEnd"/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% </w:t>
            </w:r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</w:r>
            <w:proofErr w:type="spellStart"/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досто</w:t>
            </w:r>
            <w:proofErr w:type="spellEnd"/>
            <w:r w:rsidRPr="00D15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br/>
              <w:t>вірності</w:t>
            </w:r>
          </w:p>
        </w:tc>
      </w:tr>
      <w:tr w:rsidR="00185B07" w:rsidRPr="00D15995" w:rsidTr="00E43A87">
        <w:trPr>
          <w:trHeight w:val="327"/>
          <w:jc w:val="center"/>
        </w:trPr>
        <w:tc>
          <w:tcPr>
            <w:tcW w:w="2860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22" w:type="dxa"/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131" w:type="dxa"/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31" w:type="dxa"/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185B07" w:rsidRPr="00D15995" w:rsidTr="00E43A87">
        <w:trPr>
          <w:jc w:val="center"/>
        </w:trPr>
        <w:tc>
          <w:tcPr>
            <w:tcW w:w="2860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освіти</w:t>
            </w:r>
          </w:p>
        </w:tc>
        <w:tc>
          <w:tcPr>
            <w:tcW w:w="1275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276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2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96,77%</w:t>
            </w:r>
          </w:p>
        </w:tc>
        <w:tc>
          <w:tcPr>
            <w:tcW w:w="1131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</w:tr>
      <w:tr w:rsidR="00185B07" w:rsidRPr="00D15995" w:rsidTr="00E43A87">
        <w:trPr>
          <w:jc w:val="center"/>
        </w:trPr>
        <w:tc>
          <w:tcPr>
            <w:tcW w:w="2860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праці та соціального захисту</w:t>
            </w:r>
          </w:p>
        </w:tc>
        <w:tc>
          <w:tcPr>
            <w:tcW w:w="1275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276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</w:tr>
      <w:tr w:rsidR="00185B07" w:rsidRPr="00D15995" w:rsidTr="00E43A87">
        <w:trPr>
          <w:jc w:val="center"/>
        </w:trPr>
        <w:tc>
          <w:tcPr>
            <w:tcW w:w="2860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ЖКГ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1017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422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99,80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95,41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60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благоустрою 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  <w:tc>
          <w:tcPr>
            <w:tcW w:w="1276" w:type="dxa"/>
            <w:hideMark/>
          </w:tcPr>
          <w:p w:rsidR="00185B07" w:rsidRPr="00726BF4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26B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422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60" w:type="dxa"/>
            <w:gridSpan w:val="2"/>
            <w:hideMark/>
          </w:tcPr>
          <w:p w:rsidR="00185B07" w:rsidRPr="00B80711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будівництва, </w:t>
            </w:r>
            <w:r w:rsidRPr="00B8071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архітектури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розвитку інфраструктури</w:t>
            </w:r>
          </w:p>
        </w:tc>
        <w:tc>
          <w:tcPr>
            <w:tcW w:w="1275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76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22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8071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  <w:r w:rsidRPr="00B8071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B8071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8071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</w:tr>
      <w:tr w:rsidR="00185B07" w:rsidRPr="00D15995" w:rsidTr="00E43A87">
        <w:trPr>
          <w:jc w:val="center"/>
        </w:trPr>
        <w:tc>
          <w:tcPr>
            <w:tcW w:w="2860" w:type="dxa"/>
            <w:gridSpan w:val="2"/>
            <w:hideMark/>
          </w:tcPr>
          <w:p w:rsidR="00185B07" w:rsidRPr="00B80711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«УЗН»</w:t>
            </w:r>
          </w:p>
        </w:tc>
        <w:tc>
          <w:tcPr>
            <w:tcW w:w="1275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1276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422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99,07%</w:t>
            </w:r>
          </w:p>
        </w:tc>
        <w:tc>
          <w:tcPr>
            <w:tcW w:w="1131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86,79%</w:t>
            </w:r>
          </w:p>
        </w:tc>
        <w:tc>
          <w:tcPr>
            <w:tcW w:w="1131" w:type="dxa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94,87%</w:t>
            </w:r>
          </w:p>
        </w:tc>
      </w:tr>
      <w:tr w:rsidR="00185B07" w:rsidRPr="00D15995" w:rsidTr="00E43A87">
        <w:trPr>
          <w:jc w:val="center"/>
        </w:trPr>
        <w:tc>
          <w:tcPr>
            <w:tcW w:w="2860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ШЕУ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22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  <w:tc>
          <w:tcPr>
            <w:tcW w:w="1131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УЖГ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201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546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99,81%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97,94%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93,94%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202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754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99,19%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94,44%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203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850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99,64%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98,33%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92,23%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204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99,33%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96,94%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205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406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98,99%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96,88%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206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98,11%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93,18%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207</w:t>
            </w:r>
          </w:p>
        </w:tc>
        <w:tc>
          <w:tcPr>
            <w:tcW w:w="1275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323</w:t>
            </w:r>
          </w:p>
        </w:tc>
        <w:tc>
          <w:tcPr>
            <w:tcW w:w="1276" w:type="dxa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99,69%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98,11%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94,50%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«Господар»</w:t>
            </w: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1275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602</w:t>
            </w:r>
          </w:p>
        </w:tc>
        <w:tc>
          <w:tcPr>
            <w:tcW w:w="1276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95,45%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1275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444</w:t>
            </w:r>
          </w:p>
        </w:tc>
        <w:tc>
          <w:tcPr>
            <w:tcW w:w="1276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98,39%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92,31%</w:t>
            </w:r>
          </w:p>
        </w:tc>
      </w:tr>
      <w:tr w:rsidR="00185B07" w:rsidRPr="00D15995" w:rsidTr="00E43A87">
        <w:trPr>
          <w:jc w:val="center"/>
        </w:trPr>
        <w:tc>
          <w:tcPr>
            <w:tcW w:w="1281" w:type="dxa"/>
            <w:vMerge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1275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771</w:t>
            </w:r>
          </w:p>
        </w:tc>
        <w:tc>
          <w:tcPr>
            <w:tcW w:w="1276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422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99,73%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97,85%</w:t>
            </w:r>
          </w:p>
        </w:tc>
        <w:tc>
          <w:tcPr>
            <w:tcW w:w="1131" w:type="dxa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920D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93,41%</w:t>
            </w:r>
          </w:p>
        </w:tc>
      </w:tr>
      <w:tr w:rsidR="00185B07" w:rsidRPr="00D15995" w:rsidTr="00E43A87">
        <w:trPr>
          <w:trHeight w:val="418"/>
          <w:jc w:val="center"/>
        </w:trPr>
        <w:tc>
          <w:tcPr>
            <w:tcW w:w="1281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79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920D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6732</w:t>
            </w:r>
          </w:p>
        </w:tc>
        <w:tc>
          <w:tcPr>
            <w:tcW w:w="1276" w:type="dxa"/>
            <w:vAlign w:val="center"/>
            <w:hideMark/>
          </w:tcPr>
          <w:p w:rsidR="00185B07" w:rsidRPr="00726BF4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6B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157</w:t>
            </w:r>
          </w:p>
        </w:tc>
        <w:tc>
          <w:tcPr>
            <w:tcW w:w="1422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1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185B07" w:rsidRDefault="00185B07" w:rsidP="0018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07" w:rsidRDefault="00185B07" w:rsidP="0018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Показники 4, 5 та 6 зазначеної таблиці є показниками 30, 31 та 32 міського рейтингу та означають:</w:t>
      </w:r>
    </w:p>
    <w:p w:rsidR="00185B07" w:rsidRDefault="00185B07" w:rsidP="00185B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78">
        <w:rPr>
          <w:rFonts w:ascii="Times New Roman" w:hAnsi="Times New Roman" w:cs="Times New Roman"/>
          <w:b/>
          <w:sz w:val="28"/>
          <w:szCs w:val="28"/>
          <w:lang w:val="uk-UA"/>
        </w:rPr>
        <w:t>4 (30)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Звернення, розглянуті та закриті в контрольний термін (відповідь надана виконавцем не пізніше контрольної дати);</w:t>
      </w:r>
    </w:p>
    <w:p w:rsidR="00185B07" w:rsidRDefault="00185B07" w:rsidP="00185B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7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 (31)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Звернення, фактичне виконання яких підтверджено заявниками (закриті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дозвоном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відділом зворотного зв’язку або куратором району);</w:t>
      </w:r>
    </w:p>
    <w:p w:rsidR="00185B07" w:rsidRDefault="00185B07" w:rsidP="00185B0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2F78">
        <w:rPr>
          <w:rFonts w:ascii="Times New Roman" w:hAnsi="Times New Roman" w:cs="Times New Roman"/>
          <w:b/>
          <w:sz w:val="28"/>
          <w:szCs w:val="28"/>
          <w:lang w:val="uk-UA"/>
        </w:rPr>
        <w:t>6 (32)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Звернення, виконання яких підтверджено та не повернуто на доопрацювання.</w:t>
      </w:r>
    </w:p>
    <w:p w:rsidR="00185B07" w:rsidRPr="003D4885" w:rsidRDefault="00185B07" w:rsidP="00185B07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За рейтинговими показниками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підсумками 9-ти місяців, </w:t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залишаються не виконаними </w:t>
      </w:r>
      <w:r w:rsidRPr="00726B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157 </w:t>
      </w:r>
      <w:r w:rsidRPr="002119F8">
        <w:rPr>
          <w:rFonts w:ascii="Times New Roman" w:hAnsi="Times New Roman" w:cs="Times New Roman"/>
          <w:b/>
          <w:sz w:val="28"/>
          <w:szCs w:val="28"/>
          <w:lang w:val="uk-UA"/>
        </w:rPr>
        <w:t>звернень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5B07" w:rsidRDefault="00185B07" w:rsidP="0018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порівнянні з попереднім періодом, а саме 1-ше півріччя 2014 року кількість звернень що надійшли зросла в 1,7 рази, а кількість не виконаних в 6,2 рази. Як наслідок зниження показників майже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напрямках.</w:t>
      </w:r>
    </w:p>
    <w:p w:rsidR="00185B07" w:rsidRDefault="00185B07" w:rsidP="00185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спад результативності розгляду та виконання усних звернень відображено в таблиці 2.</w:t>
      </w:r>
    </w:p>
    <w:p w:rsidR="00185B07" w:rsidRPr="003D4885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419B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Слайд 2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0419B2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(Результат порівняння коефіцієнту задоволеності населення за результатами розгляду рейтингових звернень громадян структурними підрозділами та комунальними підприємствами району, що надійшли від КБУ «Контактний центр міста Києва» за 6 та 9 місяців 2014 року.)</w:t>
      </w:r>
    </w:p>
    <w:p w:rsidR="00185B07" w:rsidRPr="003D4885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Порівняльна таблиця % (коефіцієнту) задоволеності населення за результатами розгляду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9446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рейтингових звернень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структурними підрозділами та комунальними підприємствами району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що надійшли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від КБУ «Контактний центр міста Києва» 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6 та 9 місяців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2014 року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185B07" w:rsidRPr="003D4885" w:rsidRDefault="00185B07" w:rsidP="00185B07">
      <w:pPr>
        <w:tabs>
          <w:tab w:val="left" w:pos="0"/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1"/>
        <w:gridCol w:w="1843"/>
        <w:gridCol w:w="1843"/>
        <w:gridCol w:w="1985"/>
        <w:gridCol w:w="1569"/>
      </w:tblGrid>
      <w:tr w:rsidR="00185B07" w:rsidRPr="00D15995" w:rsidTr="00E43A87">
        <w:trPr>
          <w:trHeight w:val="758"/>
          <w:jc w:val="center"/>
        </w:trPr>
        <w:tc>
          <w:tcPr>
            <w:tcW w:w="4684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185B07" w:rsidRPr="00883619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8361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k-UA" w:eastAsia="ru-RU"/>
              </w:rPr>
              <w:t>Структурні підрозділи та комунальні підприємства району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  <w:hideMark/>
          </w:tcPr>
          <w:p w:rsidR="00185B07" w:rsidRPr="00883619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836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 задоволеності за 6 місяців 2014 року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  <w:vAlign w:val="center"/>
          </w:tcPr>
          <w:p w:rsidR="00185B07" w:rsidRPr="00883619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836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% задоволеності за 9 місяців 2014 року</w:t>
            </w:r>
          </w:p>
        </w:tc>
        <w:tc>
          <w:tcPr>
            <w:tcW w:w="1569" w:type="dxa"/>
            <w:tcMar>
              <w:left w:w="0" w:type="dxa"/>
              <w:right w:w="0" w:type="dxa"/>
            </w:tcMar>
            <w:vAlign w:val="center"/>
          </w:tcPr>
          <w:p w:rsidR="00185B07" w:rsidRPr="00883619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зростання/зниження</w:t>
            </w:r>
          </w:p>
        </w:tc>
      </w:tr>
      <w:tr w:rsidR="00185B07" w:rsidRPr="00732F78" w:rsidTr="00E43A87">
        <w:trPr>
          <w:trHeight w:val="283"/>
          <w:jc w:val="center"/>
        </w:trPr>
        <w:tc>
          <w:tcPr>
            <w:tcW w:w="4684" w:type="dxa"/>
            <w:gridSpan w:val="2"/>
            <w:tcMar>
              <w:left w:w="0" w:type="dxa"/>
              <w:right w:w="0" w:type="dxa"/>
            </w:tcMar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732F7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185B07" w:rsidRPr="00732F78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69" w:type="dxa"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185B07" w:rsidTr="00E43A87">
        <w:trPr>
          <w:jc w:val="center"/>
        </w:trPr>
        <w:tc>
          <w:tcPr>
            <w:tcW w:w="4684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освіти</w:t>
            </w:r>
          </w:p>
        </w:tc>
        <w:tc>
          <w:tcPr>
            <w:tcW w:w="1843" w:type="dxa"/>
            <w:vAlign w:val="center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985" w:type="dxa"/>
            <w:vAlign w:val="center"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96,77%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Tr="00E43A87">
        <w:trPr>
          <w:jc w:val="center"/>
        </w:trPr>
        <w:tc>
          <w:tcPr>
            <w:tcW w:w="4684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праці та соціального захисту</w:t>
            </w:r>
          </w:p>
        </w:tc>
        <w:tc>
          <w:tcPr>
            <w:tcW w:w="1843" w:type="dxa"/>
            <w:vAlign w:val="center"/>
            <w:hideMark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985" w:type="dxa"/>
            <w:vAlign w:val="center"/>
          </w:tcPr>
          <w:p w:rsidR="00185B0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100,00%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4684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ЖКГ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92,97%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92,65%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4684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благоустрою 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79,68%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65,30%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-14,38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B80711" w:rsidTr="00E43A87">
        <w:trPr>
          <w:jc w:val="center"/>
        </w:trPr>
        <w:tc>
          <w:tcPr>
            <w:tcW w:w="4684" w:type="dxa"/>
            <w:gridSpan w:val="2"/>
            <w:hideMark/>
          </w:tcPr>
          <w:p w:rsidR="00185B07" w:rsidRPr="00B80711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Відділ будівництва, </w:t>
            </w:r>
            <w:r w:rsidRPr="00B8071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архітектури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розвитку інфраструктури</w:t>
            </w:r>
          </w:p>
        </w:tc>
        <w:tc>
          <w:tcPr>
            <w:tcW w:w="1843" w:type="dxa"/>
            <w:vAlign w:val="center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92,00%</w:t>
            </w:r>
          </w:p>
        </w:tc>
        <w:tc>
          <w:tcPr>
            <w:tcW w:w="1985" w:type="dxa"/>
            <w:vAlign w:val="center"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79,41%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-12,59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B80711" w:rsidTr="00E43A87">
        <w:trPr>
          <w:jc w:val="center"/>
        </w:trPr>
        <w:tc>
          <w:tcPr>
            <w:tcW w:w="4684" w:type="dxa"/>
            <w:gridSpan w:val="2"/>
            <w:hideMark/>
          </w:tcPr>
          <w:p w:rsidR="00185B07" w:rsidRPr="00B80711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«УЗН»</w:t>
            </w:r>
          </w:p>
        </w:tc>
        <w:tc>
          <w:tcPr>
            <w:tcW w:w="1843" w:type="dxa"/>
            <w:vAlign w:val="center"/>
            <w:hideMark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83,33%</w:t>
            </w:r>
          </w:p>
        </w:tc>
        <w:tc>
          <w:tcPr>
            <w:tcW w:w="1985" w:type="dxa"/>
            <w:vAlign w:val="center"/>
          </w:tcPr>
          <w:p w:rsidR="00185B07" w:rsidRPr="00B8071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81,57%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4684" w:type="dxa"/>
            <w:gridSpan w:val="2"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ШЕУ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95,45%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91,46%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4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ДЗ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</w:t>
            </w: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УЖГ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201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93,18%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91,83%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-1,35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4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202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94,06%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93,68%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4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203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93,73%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90,37%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4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204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98,10%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96,29%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4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205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96,58%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95,90%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4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206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94,19%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91,42%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-2,77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D15995" w:rsidTr="00E43A87">
        <w:trPr>
          <w:jc w:val="center"/>
        </w:trPr>
        <w:tc>
          <w:tcPr>
            <w:tcW w:w="2841" w:type="dxa"/>
            <w:vMerge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 207</w:t>
            </w:r>
          </w:p>
        </w:tc>
        <w:tc>
          <w:tcPr>
            <w:tcW w:w="1843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93,48%</w:t>
            </w:r>
          </w:p>
        </w:tc>
        <w:tc>
          <w:tcPr>
            <w:tcW w:w="1985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92,42%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6920D1" w:rsidTr="00E43A87">
        <w:trPr>
          <w:jc w:val="center"/>
        </w:trPr>
        <w:tc>
          <w:tcPr>
            <w:tcW w:w="2841" w:type="dxa"/>
            <w:vMerge w:val="restart"/>
            <w:tcMar>
              <w:left w:w="0" w:type="dxa"/>
              <w:right w:w="0" w:type="dxa"/>
            </w:tcMar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«Господар»</w:t>
            </w: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№221</w:t>
            </w:r>
          </w:p>
        </w:tc>
        <w:tc>
          <w:tcPr>
            <w:tcW w:w="1843" w:type="dxa"/>
            <w:vAlign w:val="center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95,74%</w:t>
            </w:r>
          </w:p>
        </w:tc>
        <w:tc>
          <w:tcPr>
            <w:tcW w:w="1985" w:type="dxa"/>
            <w:vAlign w:val="center"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95,45%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6920D1" w:rsidTr="00E43A87">
        <w:trPr>
          <w:jc w:val="center"/>
        </w:trPr>
        <w:tc>
          <w:tcPr>
            <w:tcW w:w="2841" w:type="dxa"/>
            <w:vMerge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№222</w:t>
            </w:r>
          </w:p>
        </w:tc>
        <w:tc>
          <w:tcPr>
            <w:tcW w:w="1843" w:type="dxa"/>
            <w:vAlign w:val="center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91,88%</w:t>
            </w:r>
          </w:p>
        </w:tc>
        <w:tc>
          <w:tcPr>
            <w:tcW w:w="1985" w:type="dxa"/>
            <w:vAlign w:val="center"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90,83%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6920D1" w:rsidTr="00E43A87">
        <w:trPr>
          <w:jc w:val="center"/>
        </w:trPr>
        <w:tc>
          <w:tcPr>
            <w:tcW w:w="2841" w:type="dxa"/>
            <w:vMerge/>
            <w:hideMark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185B07" w:rsidRPr="00D15995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1599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ЖЕД №223</w:t>
            </w:r>
          </w:p>
        </w:tc>
        <w:tc>
          <w:tcPr>
            <w:tcW w:w="1843" w:type="dxa"/>
            <w:vAlign w:val="center"/>
            <w:hideMark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95,53%</w:t>
            </w:r>
          </w:p>
        </w:tc>
        <w:tc>
          <w:tcPr>
            <w:tcW w:w="1985" w:type="dxa"/>
            <w:vAlign w:val="center"/>
          </w:tcPr>
          <w:p w:rsidR="00185B07" w:rsidRPr="006920D1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93,41%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%</w:t>
            </w:r>
          </w:p>
        </w:tc>
      </w:tr>
      <w:tr w:rsidR="00185B07" w:rsidRPr="006920D1" w:rsidTr="00E43A87">
        <w:trPr>
          <w:trHeight w:val="332"/>
          <w:jc w:val="center"/>
        </w:trPr>
        <w:tc>
          <w:tcPr>
            <w:tcW w:w="2841" w:type="dxa"/>
            <w:vAlign w:val="center"/>
            <w:hideMark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185B07" w:rsidRPr="00D15995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185B07" w:rsidRPr="00A821FA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92,42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1985" w:type="dxa"/>
            <w:vAlign w:val="center"/>
          </w:tcPr>
          <w:p w:rsidR="00185B07" w:rsidRPr="00A821FA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89,58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%</w:t>
            </w:r>
          </w:p>
        </w:tc>
        <w:tc>
          <w:tcPr>
            <w:tcW w:w="1569" w:type="dxa"/>
            <w:vAlign w:val="center"/>
          </w:tcPr>
          <w:p w:rsidR="00185B07" w:rsidRPr="00A821FA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A821F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-2,84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%</w:t>
            </w:r>
          </w:p>
        </w:tc>
      </w:tr>
    </w:tbl>
    <w:p w:rsidR="00185B07" w:rsidRPr="00684F5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 результатами розгляду усних звернень протягом 3-х кварталів 2014 року, с</w:t>
      </w:r>
      <w:r w:rsidRPr="00684F5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лід відмітити </w:t>
      </w:r>
      <w:r w:rsidRPr="004F701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сумлінну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роботу </w:t>
      </w:r>
      <w:r w:rsidRPr="00684F5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опрацювання звернень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наступних підрозділів: </w:t>
      </w:r>
      <w:r w:rsidRPr="00684F5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Управління праці та соціального захисту, ЖЕД 202, ЖЕД 204, ЖЕД 205,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ЖЕД 221.</w:t>
      </w:r>
    </w:p>
    <w:p w:rsidR="00185B0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Крім того, необхідно наголосити на збереженні сталої тенденції до зростання невиконаних усних звернень які не входять до числа рейтингових, так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станом на 14.10.2014 року не виконаними залишалось більше 10 % усіх звернень, так як і кількість звернень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 виконання не настав (в роботі) 515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85B0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:rsidR="00185B07" w:rsidRPr="00726BF4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726BF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Слайд 3(Діаграма)Надходженням звернень </w:t>
      </w:r>
    </w:p>
    <w:p w:rsidR="00185B07" w:rsidRDefault="00185B07" w:rsidP="00185B07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07" w:rsidRDefault="00185B07" w:rsidP="00185B07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</w:pPr>
      <w:r w:rsidRPr="004F3C2A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аналізу 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тематики</w:t>
      </w:r>
      <w:r w:rsidRPr="004F3C2A">
        <w:rPr>
          <w:rFonts w:ascii="Times New Roman" w:hAnsi="Times New Roman" w:cs="Times New Roman"/>
          <w:sz w:val="28"/>
          <w:szCs w:val="28"/>
          <w:lang w:val="uk-UA"/>
        </w:rPr>
        <w:t xml:space="preserve"> усних звернень за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9 місяців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 2014 року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найбільш болючими питаннями для 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мешканців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стали: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 </w:t>
      </w:r>
      <w:proofErr w:type="spellStart"/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гвп</w:t>
      </w:r>
      <w:proofErr w:type="spellEnd"/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питання </w:t>
      </w:r>
      <w:r w:rsidRPr="004F3C2A"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 xml:space="preserve">благоустрою, </w:t>
      </w:r>
      <w:r>
        <w:rPr>
          <w:rFonts w:ascii="Times New Roman" w:hAnsi="Times New Roman" w:cs="Times New Roman"/>
          <w:bCs/>
          <w:iCs/>
          <w:color w:val="000000"/>
          <w:kern w:val="24"/>
          <w:sz w:val="28"/>
          <w:szCs w:val="28"/>
          <w:lang w:val="uk-UA" w:eastAsia="ru-RU"/>
        </w:rPr>
        <w:t>опалення, утримання будинків тощо.</w:t>
      </w:r>
    </w:p>
    <w:p w:rsidR="00185B07" w:rsidRPr="003D4885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D4885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4(ТОП 10 проблемних питань Дарницького району).</w:t>
      </w:r>
    </w:p>
    <w:p w:rsidR="00185B0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Проблемні питання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що надійшли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від КБУ «Контактний центр міста Києва» за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9 місяців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2014 року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185B07" w:rsidRPr="00815F6C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5F6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23"/>
        <w:gridCol w:w="1941"/>
        <w:gridCol w:w="1894"/>
      </w:tblGrid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питань</w:t>
            </w:r>
          </w:p>
        </w:tc>
        <w:tc>
          <w:tcPr>
            <w:tcW w:w="1941" w:type="dxa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94" w:type="dxa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Житлове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9482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62,08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Транспорт,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дорожнє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9,47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ГЛ "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МАФ":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4,37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здоров'я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ветеринарна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Комунальне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2,85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іальне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зауваження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побажання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претензії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Торгівля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побут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185B07" w:rsidRPr="002B7347" w:rsidTr="00E43A87">
        <w:tc>
          <w:tcPr>
            <w:tcW w:w="456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3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ітектура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капітальне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реконструкція</w:t>
            </w:r>
            <w:proofErr w:type="spellEnd"/>
          </w:p>
        </w:tc>
        <w:tc>
          <w:tcPr>
            <w:tcW w:w="1941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94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</w:tr>
    </w:tbl>
    <w:p w:rsidR="00185B0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85B0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815F6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Більш докладно тематика звернень представлена в таблиці 6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85B0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185B07" w:rsidRPr="002B734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2B734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Слайд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5</w:t>
      </w:r>
      <w:r w:rsidRPr="002B734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(ТОП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10 </w:t>
      </w:r>
      <w:r w:rsidRPr="002B7347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проблемних підпитань Дарницького району)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</w:p>
    <w:p w:rsidR="00185B07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Докладний перелік проблемних підпитань громадян, що надійшли 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від КБУ «Контактний центр міста Києва» за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9 місяців</w:t>
      </w:r>
      <w:r w:rsidRPr="003D48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2014 року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185B07" w:rsidRPr="00815F6C" w:rsidRDefault="00185B07" w:rsidP="00185B07">
      <w:pPr>
        <w:tabs>
          <w:tab w:val="left" w:pos="142"/>
          <w:tab w:val="left" w:pos="1230"/>
        </w:tabs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Таблиця 6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89"/>
        <w:gridCol w:w="1843"/>
        <w:gridCol w:w="1985"/>
      </w:tblGrid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Класифікатор підпитань</w:t>
            </w:r>
          </w:p>
        </w:tc>
        <w:tc>
          <w:tcPr>
            <w:tcW w:w="1843" w:type="dxa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985" w:type="dxa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ГВП</w:t>
            </w:r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26,21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Незадовільна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 ГВП</w:t>
            </w:r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6,53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Перевірка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дозвільної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, демонтаж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кіосків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ларкі</w:t>
            </w:r>
            <w:proofErr w:type="gram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пасажирський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ліфт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5,38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працює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бювет</w:t>
            </w:r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приміщенні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вході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Відсутнє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ХВП</w:t>
            </w:r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3,98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Відсутнє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електропостачання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дахі</w:t>
            </w:r>
            <w:proofErr w:type="gram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3,51</w:t>
            </w:r>
          </w:p>
        </w:tc>
      </w:tr>
      <w:tr w:rsidR="00185B07" w:rsidRPr="002B7347" w:rsidTr="00E43A87">
        <w:tc>
          <w:tcPr>
            <w:tcW w:w="0" w:type="auto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89" w:type="dxa"/>
            <w:hideMark/>
          </w:tcPr>
          <w:p w:rsidR="00185B07" w:rsidRPr="002B7347" w:rsidRDefault="00185B07" w:rsidP="00E4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ГЛ "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Несанкціонована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торгівля</w:t>
            </w:r>
            <w:proofErr w:type="spellEnd"/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Align w:val="center"/>
            <w:hideMark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985" w:type="dxa"/>
            <w:vAlign w:val="center"/>
          </w:tcPr>
          <w:p w:rsidR="00185B07" w:rsidRPr="002B7347" w:rsidRDefault="00185B07" w:rsidP="00E43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</w:tr>
    </w:tbl>
    <w:p w:rsidR="00185B07" w:rsidRDefault="00185B07" w:rsidP="00185B07">
      <w:pPr>
        <w:tabs>
          <w:tab w:val="left" w:pos="142"/>
        </w:tabs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85B07" w:rsidRPr="00B76C1A" w:rsidRDefault="00185B07" w:rsidP="00185B07">
      <w:pPr>
        <w:tabs>
          <w:tab w:val="left" w:pos="14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Але є й позитивні здобутки. За підсумками 3-го кварталу 2014 року кількість відповідей на звернення, що надійшли на адресу урядової гарячої лінії та розглядалися в системі Дарницької РДА, та не були повернуті на доопрацювання, зменшилась в 4 рази та склала 16 проти 67 за минулий квартал.</w:t>
      </w:r>
    </w:p>
    <w:p w:rsidR="00185B07" w:rsidRDefault="00185B07" w:rsidP="0018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в системі </w:t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>КБУ «Контактний центр міста Києва»</w:t>
      </w:r>
      <w:r w:rsidRPr="003D48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C1A">
        <w:rPr>
          <w:rFonts w:ascii="Times New Roman" w:hAnsi="Times New Roman" w:cs="Times New Roman"/>
          <w:sz w:val="28"/>
          <w:szCs w:val="28"/>
          <w:lang w:val="uk-UA"/>
        </w:rPr>
        <w:t>триває модернізація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програмно-апаратного комплексу, за результатами якої значно збільшиться кількість ключів доступу, що має позитивно вплинути на підвищення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ефективності співпраці, оперативності розгляду та скорішого вирішення проблем, з якими звертаються мешканці. А також зросте роль безпосередніх виконавців в технологічному процесі та їх відповідальність.</w:t>
      </w:r>
    </w:p>
    <w:p w:rsidR="00185B07" w:rsidRDefault="00185B07" w:rsidP="0018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інформацією </w:t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>КБУ «Контактний центр міста Києва»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та перехід на новий програмно-апаратний комплекс відбудеться за 2 тижні.</w:t>
      </w:r>
    </w:p>
    <w:p w:rsidR="00185B07" w:rsidRDefault="00185B07" w:rsidP="0018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07" w:rsidRPr="003D4885" w:rsidRDefault="00185B07" w:rsidP="00185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Вибірка та аналітичні підрахунки проводились за період 01.01.2014 00:00 по 30.09.2014 23:59. Час проведення 10.10.2014 з 14:00 по 17:00.</w:t>
      </w:r>
    </w:p>
    <w:p w:rsidR="00185B07" w:rsidRDefault="00185B07" w:rsidP="00185B0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07" w:rsidRPr="003D4885" w:rsidRDefault="00185B07" w:rsidP="00185B0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07" w:rsidRDefault="00185B07" w:rsidP="00185B0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відділу </w:t>
      </w:r>
    </w:p>
    <w:p w:rsidR="00185B07" w:rsidRDefault="00185B07" w:rsidP="00185B0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>роботи із зверненнями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85">
        <w:rPr>
          <w:rFonts w:ascii="Times New Roman" w:hAnsi="Times New Roman" w:cs="Times New Roman"/>
          <w:sz w:val="28"/>
          <w:szCs w:val="28"/>
          <w:lang w:val="uk-UA"/>
        </w:rPr>
        <w:t xml:space="preserve">Р.С. </w:t>
      </w:r>
      <w:proofErr w:type="spellStart"/>
      <w:r w:rsidRPr="003D4885">
        <w:rPr>
          <w:rFonts w:ascii="Times New Roman" w:hAnsi="Times New Roman" w:cs="Times New Roman"/>
          <w:sz w:val="28"/>
          <w:szCs w:val="28"/>
          <w:lang w:val="uk-UA"/>
        </w:rPr>
        <w:t>Бутенко</w:t>
      </w:r>
      <w:proofErr w:type="spellEnd"/>
    </w:p>
    <w:p w:rsidR="00185B07" w:rsidRDefault="00185B07" w:rsidP="00185B0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5B07" w:rsidRPr="003D4885" w:rsidRDefault="00185B07" w:rsidP="00185B07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85B07" w:rsidRPr="003D4885" w:rsidRDefault="00185B07" w:rsidP="00185B07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7170C" w:rsidRPr="00185B07" w:rsidRDefault="00185B07">
      <w:pPr>
        <w:rPr>
          <w:lang w:val="uk-UA"/>
        </w:rPr>
      </w:pPr>
    </w:p>
    <w:sectPr w:rsidR="0047170C" w:rsidRPr="00185B07" w:rsidSect="001B1AB4">
      <w:pgSz w:w="11905" w:h="16837"/>
      <w:pgMar w:top="568" w:right="567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66DA"/>
    <w:multiLevelType w:val="hybridMultilevel"/>
    <w:tmpl w:val="5F8E3B72"/>
    <w:lvl w:ilvl="0" w:tplc="2CF07768">
      <w:start w:val="2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185B07"/>
    <w:rsid w:val="00185B07"/>
    <w:rsid w:val="002336BF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07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2014-10-14T08:03:00Z</dcterms:created>
  <dcterms:modified xsi:type="dcterms:W3CDTF">2014-10-14T08:04:00Z</dcterms:modified>
</cp:coreProperties>
</file>